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B6C46" w14:textId="2F4FED14" w:rsidR="00534A85" w:rsidRPr="00C6290E" w:rsidRDefault="00A13474" w:rsidP="00A13474">
      <w:pPr>
        <w:tabs>
          <w:tab w:val="left" w:pos="7230"/>
        </w:tabs>
        <w:rPr>
          <w:rFonts w:cs="Arial"/>
          <w:b/>
          <w:sz w:val="24"/>
          <w:szCs w:val="24"/>
        </w:rPr>
      </w:pPr>
      <w:r w:rsidRPr="00C6290E">
        <w:rPr>
          <w:b/>
          <w:sz w:val="24"/>
        </w:rPr>
        <w:tab/>
      </w:r>
      <w:r w:rsidRPr="00C6290E">
        <w:rPr>
          <w:b/>
          <w:i/>
          <w:sz w:val="24"/>
          <w:highlight w:val="green"/>
          <w:u w:val="single"/>
        </w:rPr>
        <w:t>Ébauche</w:t>
      </w:r>
    </w:p>
    <w:p w14:paraId="350C59F3" w14:textId="77777777" w:rsidR="008C20A0" w:rsidRPr="00C6290E" w:rsidRDefault="008C20A0" w:rsidP="00534A85">
      <w:pPr>
        <w:tabs>
          <w:tab w:val="left" w:pos="8647"/>
        </w:tabs>
        <w:rPr>
          <w:rFonts w:cs="Arial"/>
          <w:b/>
          <w:sz w:val="24"/>
          <w:szCs w:val="24"/>
        </w:rPr>
      </w:pPr>
    </w:p>
    <w:p w14:paraId="765F121D" w14:textId="77777777" w:rsidR="008C20A0" w:rsidRPr="00C6290E" w:rsidRDefault="008C20A0" w:rsidP="00534A85">
      <w:pPr>
        <w:tabs>
          <w:tab w:val="left" w:pos="8647"/>
        </w:tabs>
        <w:rPr>
          <w:rFonts w:cs="Arial"/>
          <w:b/>
          <w:sz w:val="24"/>
          <w:szCs w:val="24"/>
        </w:rPr>
      </w:pPr>
    </w:p>
    <w:p w14:paraId="41ADF0AC" w14:textId="5F8C7C18" w:rsidR="009A509A" w:rsidRPr="00C6290E" w:rsidRDefault="00FA6B8D" w:rsidP="0056080A">
      <w:pPr>
        <w:tabs>
          <w:tab w:val="left" w:pos="8647"/>
        </w:tabs>
        <w:rPr>
          <w:rFonts w:cs="Arial"/>
          <w:b/>
          <w:sz w:val="24"/>
          <w:szCs w:val="24"/>
        </w:rPr>
      </w:pPr>
      <w:r w:rsidRPr="00C6290E">
        <w:rPr>
          <w:b/>
          <w:sz w:val="24"/>
        </w:rPr>
        <w:t>Règlement relatif aux forfaits d’infrastructure de l’enseignement obligatoire spécialisé</w:t>
      </w:r>
    </w:p>
    <w:p w14:paraId="62BC410D" w14:textId="12B02DED" w:rsidR="00534A85" w:rsidRPr="00C6290E" w:rsidRDefault="00534A85" w:rsidP="00534A85">
      <w:pPr>
        <w:tabs>
          <w:tab w:val="left" w:pos="8647"/>
        </w:tabs>
        <w:rPr>
          <w:rFonts w:cs="Arial"/>
          <w:b/>
          <w:sz w:val="23"/>
          <w:szCs w:val="23"/>
        </w:rPr>
      </w:pPr>
    </w:p>
    <w:p w14:paraId="47888AC8" w14:textId="77777777" w:rsidR="009A509A" w:rsidRPr="00C6290E" w:rsidRDefault="009A509A" w:rsidP="00534A85">
      <w:pPr>
        <w:tabs>
          <w:tab w:val="left" w:pos="8647"/>
        </w:tabs>
        <w:rPr>
          <w:rFonts w:cs="Arial"/>
          <w:b/>
          <w:sz w:val="23"/>
          <w:szCs w:val="23"/>
        </w:rPr>
      </w:pPr>
    </w:p>
    <w:p w14:paraId="6B187DA4" w14:textId="2E3EEA99" w:rsidR="00534A85" w:rsidRPr="00C6290E" w:rsidRDefault="00534A85" w:rsidP="00BE2CAD">
      <w:pPr>
        <w:tabs>
          <w:tab w:val="left" w:pos="8647"/>
        </w:tabs>
        <w:rPr>
          <w:rFonts w:cs="Arial"/>
          <w:b/>
          <w:kern w:val="28"/>
          <w:sz w:val="23"/>
          <w:szCs w:val="23"/>
        </w:rPr>
      </w:pPr>
      <w:bookmarkStart w:id="0" w:name="_Toc288729857"/>
      <w:r w:rsidRPr="00C6290E">
        <w:rPr>
          <w:b/>
          <w:sz w:val="23"/>
        </w:rPr>
        <w:t>1. O</w:t>
      </w:r>
      <w:bookmarkEnd w:id="0"/>
      <w:r w:rsidRPr="00C6290E">
        <w:rPr>
          <w:b/>
          <w:sz w:val="23"/>
        </w:rPr>
        <w:t>bjet du règlement et principes</w:t>
      </w:r>
    </w:p>
    <w:p w14:paraId="2598E854" w14:textId="482EE033" w:rsidR="00534A85" w:rsidRPr="00C6290E" w:rsidRDefault="00534A85" w:rsidP="00534A85">
      <w:pPr>
        <w:tabs>
          <w:tab w:val="left" w:pos="8647"/>
        </w:tabs>
        <w:rPr>
          <w:rFonts w:cs="Arial"/>
          <w:kern w:val="28"/>
          <w:sz w:val="23"/>
          <w:szCs w:val="23"/>
        </w:rPr>
      </w:pPr>
    </w:p>
    <w:p w14:paraId="6C5AAA8B" w14:textId="649F8BDA" w:rsidR="00BE2CAD" w:rsidRPr="00C6290E" w:rsidRDefault="00FD29E0" w:rsidP="0056080A">
      <w:pPr>
        <w:pStyle w:val="Listenabsatz"/>
        <w:numPr>
          <w:ilvl w:val="1"/>
          <w:numId w:val="43"/>
        </w:numPr>
        <w:spacing w:after="120"/>
        <w:contextualSpacing w:val="0"/>
        <w:jc w:val="both"/>
        <w:rPr>
          <w:rFonts w:cs="Arial"/>
          <w:szCs w:val="22"/>
        </w:rPr>
      </w:pPr>
      <w:r w:rsidRPr="00C6290E">
        <w:t>Du fait de la législation cantonale, notamment de l’article 21q de la loi sur l’école obligatoire du 19 mars 1992 (LEO), de l’article 48 et suivants de l’ordonnance sur l’offre spécialisée de l’école obligatoire du 10 novembre 2021 (OOSEO), ainsi que de l’ordonnance de Direction sur l’offre spécialisée de l’école obligatoire du 23 novembre 2021 (ODOSEO), les enseignements obligatoires spécialisés reçoivent un forfait d’infrastructure unique par classe pour couvrir leurs besoins en surfaces, bâtiments et biens m</w:t>
      </w:r>
      <w:r w:rsidR="0090222F">
        <w:t>eubles</w:t>
      </w:r>
      <w:r w:rsidRPr="00C6290E">
        <w:t xml:space="preserve"> (mobilier et équipement technique). Il s’appuie sur un investissement normatif par classe, comprend l’amortissement et le rendement du capital investi et doit être affecté à la mise à disposition de l’infrastructure.</w:t>
      </w:r>
    </w:p>
    <w:p w14:paraId="326E8FD6" w14:textId="15FB70D2" w:rsidR="00D44104" w:rsidRPr="00C6290E" w:rsidRDefault="00D44104" w:rsidP="0056080A">
      <w:pPr>
        <w:pStyle w:val="Listenabsatz"/>
        <w:ind w:left="527"/>
        <w:contextualSpacing w:val="0"/>
        <w:jc w:val="both"/>
        <w:rPr>
          <w:szCs w:val="22"/>
        </w:rPr>
      </w:pPr>
      <w:r w:rsidRPr="00C6290E">
        <w:t>D’autres dispositions sont définies dans les «Directives relatives à la tarification de l’enseignement obligatoire spécialisé»</w:t>
      </w:r>
      <w:r w:rsidRPr="00C6290E">
        <w:rPr>
          <w:rStyle w:val="Funotenzeichen"/>
          <w:szCs w:val="22"/>
        </w:rPr>
        <w:footnoteReference w:id="1"/>
      </w:r>
      <w:r w:rsidRPr="00C6290E">
        <w:t xml:space="preserve"> de l’Office de l’école obligatoire et du conseil (OECO).</w:t>
      </w:r>
    </w:p>
    <w:p w14:paraId="6A23DD7D" w14:textId="77777777" w:rsidR="007A5637" w:rsidRPr="00C6290E" w:rsidRDefault="007A5637" w:rsidP="0056080A">
      <w:pPr>
        <w:pStyle w:val="Listenabsatz"/>
        <w:ind w:left="527"/>
        <w:contextualSpacing w:val="0"/>
        <w:jc w:val="both"/>
        <w:rPr>
          <w:rFonts w:cs="Arial"/>
          <w:szCs w:val="22"/>
        </w:rPr>
      </w:pPr>
    </w:p>
    <w:p w14:paraId="0D82AF86" w14:textId="5E75C72C" w:rsidR="0030669C" w:rsidRPr="00C6290E" w:rsidRDefault="00534A85" w:rsidP="00102B22">
      <w:pPr>
        <w:pStyle w:val="Listenabsatz"/>
        <w:numPr>
          <w:ilvl w:val="1"/>
          <w:numId w:val="43"/>
        </w:numPr>
      </w:pPr>
      <w:r w:rsidRPr="00C6290E">
        <w:t>Le présent règlement régit exclusivement</w:t>
      </w:r>
      <w:r w:rsidR="00823521" w:rsidRPr="00C6290E">
        <w:rPr>
          <w:rStyle w:val="Funotenzeichen"/>
          <w:szCs w:val="22"/>
        </w:rPr>
        <w:footnoteReference w:id="2"/>
      </w:r>
      <w:r w:rsidRPr="00C6290E">
        <w:t xml:space="preserve"> la gestion et l’utilisation des forfaits d’infrastructure affectés mis à disposition de l’</w:t>
      </w:r>
      <w:r w:rsidRPr="00C6290E">
        <w:rPr>
          <w:highlight w:val="yellow"/>
        </w:rPr>
        <w:t>institution XXX</w:t>
      </w:r>
      <w:r w:rsidRPr="00C6290E">
        <w:t xml:space="preserve"> par le canton de Berne en vue du financement de son infrastructure en matière d’enseignement obligatoire spécialisé.</w:t>
      </w:r>
    </w:p>
    <w:p w14:paraId="6F8CE651" w14:textId="77777777" w:rsidR="00522D3D" w:rsidRPr="00C6290E" w:rsidRDefault="00522D3D" w:rsidP="0056080A">
      <w:pPr>
        <w:pStyle w:val="Listenabsatz"/>
        <w:ind w:left="525"/>
        <w:rPr>
          <w:szCs w:val="22"/>
        </w:rPr>
      </w:pPr>
    </w:p>
    <w:p w14:paraId="52520339" w14:textId="77777777" w:rsidR="00534A85" w:rsidRPr="00C6290E" w:rsidRDefault="00534A85" w:rsidP="00534A85">
      <w:pPr>
        <w:ind w:right="-1"/>
        <w:jc w:val="both"/>
        <w:rPr>
          <w:rFonts w:cs="Arial"/>
          <w:sz w:val="23"/>
          <w:szCs w:val="23"/>
        </w:rPr>
      </w:pPr>
    </w:p>
    <w:p w14:paraId="2F5273D4" w14:textId="12F04B57" w:rsidR="00534A85" w:rsidRPr="00C6290E" w:rsidRDefault="00534A85" w:rsidP="00534A85">
      <w:pPr>
        <w:ind w:right="-1"/>
        <w:jc w:val="both"/>
        <w:rPr>
          <w:rFonts w:cs="Arial"/>
          <w:b/>
          <w:sz w:val="23"/>
          <w:szCs w:val="23"/>
        </w:rPr>
      </w:pPr>
      <w:r w:rsidRPr="00C6290E">
        <w:rPr>
          <w:b/>
          <w:sz w:val="23"/>
        </w:rPr>
        <w:t>2. Constitution des fonds</w:t>
      </w:r>
    </w:p>
    <w:p w14:paraId="093268DB" w14:textId="77777777" w:rsidR="00534A85" w:rsidRPr="00C6290E" w:rsidRDefault="00534A85" w:rsidP="00534A85">
      <w:pPr>
        <w:ind w:right="-1"/>
        <w:jc w:val="both"/>
        <w:rPr>
          <w:rFonts w:cs="Arial"/>
          <w:szCs w:val="22"/>
        </w:rPr>
      </w:pPr>
    </w:p>
    <w:p w14:paraId="6994614C" w14:textId="3E3CB685" w:rsidR="0030669C" w:rsidRPr="00C6290E" w:rsidRDefault="00DB6F49" w:rsidP="00E21CF3">
      <w:pPr>
        <w:tabs>
          <w:tab w:val="left" w:pos="567"/>
        </w:tabs>
        <w:ind w:left="567" w:hanging="567"/>
      </w:pPr>
      <w:r w:rsidRPr="00C6290E">
        <w:t>2.1</w:t>
      </w:r>
      <w:r w:rsidRPr="00C6290E">
        <w:tab/>
        <w:t xml:space="preserve">Les parts du forfait d’infrastructure </w:t>
      </w:r>
      <w:r w:rsidR="00E21CF3">
        <w:rPr>
          <w:szCs w:val="22"/>
        </w:rPr>
        <w:t xml:space="preserve">destinés aux biens immobiliers et aux biens meubles, </w:t>
      </w:r>
      <w:r w:rsidRPr="00C6290E">
        <w:t>sont définies dans l’ODOSEO.</w:t>
      </w:r>
    </w:p>
    <w:p w14:paraId="16F94251" w14:textId="77777777" w:rsidR="00BE2CAD" w:rsidRPr="00C6290E" w:rsidRDefault="00BE2CAD" w:rsidP="0056080A">
      <w:pPr>
        <w:tabs>
          <w:tab w:val="left" w:pos="567"/>
        </w:tabs>
        <w:ind w:left="567" w:hanging="567"/>
        <w:rPr>
          <w:szCs w:val="22"/>
        </w:rPr>
      </w:pPr>
    </w:p>
    <w:p w14:paraId="07B39B32" w14:textId="1153AED0" w:rsidR="00522D3D" w:rsidRPr="00C6290E" w:rsidRDefault="00BE2CAD" w:rsidP="0056080A">
      <w:pPr>
        <w:tabs>
          <w:tab w:val="left" w:pos="567"/>
        </w:tabs>
        <w:ind w:left="567" w:hanging="567"/>
        <w:rPr>
          <w:szCs w:val="22"/>
        </w:rPr>
      </w:pPr>
      <w:r w:rsidRPr="00C6290E">
        <w:t>2.2</w:t>
      </w:r>
      <w:r w:rsidRPr="00C6290E">
        <w:tab/>
        <w:t>Les parts respectives sont gérées dans deux fonds distincts pour les «biens immobiliers» et les «</w:t>
      </w:r>
      <w:r w:rsidR="00E21CF3">
        <w:rPr>
          <w:szCs w:val="22"/>
        </w:rPr>
        <w:t>biens meubles</w:t>
      </w:r>
      <w:r w:rsidRPr="00C6290E">
        <w:t>» et sont comptabilisées séparément.</w:t>
      </w:r>
    </w:p>
    <w:p w14:paraId="723A3696" w14:textId="77777777" w:rsidR="00522D3D" w:rsidRPr="00C6290E" w:rsidRDefault="00522D3D" w:rsidP="0056080A">
      <w:pPr>
        <w:rPr>
          <w:szCs w:val="22"/>
        </w:rPr>
      </w:pPr>
    </w:p>
    <w:p w14:paraId="6DED4F0E" w14:textId="78E0F7A4" w:rsidR="00FD29E0" w:rsidRPr="00C6290E" w:rsidRDefault="00BE2CAD" w:rsidP="0056080A">
      <w:pPr>
        <w:tabs>
          <w:tab w:val="left" w:pos="567"/>
        </w:tabs>
        <w:ind w:left="567" w:right="-1" w:hanging="567"/>
        <w:jc w:val="both"/>
        <w:rPr>
          <w:rFonts w:cs="Arial"/>
          <w:szCs w:val="22"/>
        </w:rPr>
      </w:pPr>
      <w:r w:rsidRPr="00C6290E">
        <w:t>2.3</w:t>
      </w:r>
      <w:r w:rsidRPr="00C6290E">
        <w:tab/>
        <w:t>Les ressources non utilisées au cours d’une année calendaire demeurent dans les fonds respectifs et sont à disposition en vue d’une utilisation future.</w:t>
      </w:r>
    </w:p>
    <w:p w14:paraId="45C0E7AD" w14:textId="77777777" w:rsidR="005D0F54" w:rsidRPr="00C6290E" w:rsidRDefault="005D0F54" w:rsidP="0056080A">
      <w:pPr>
        <w:tabs>
          <w:tab w:val="left" w:pos="567"/>
        </w:tabs>
        <w:ind w:left="567" w:right="-1" w:hanging="567"/>
        <w:jc w:val="both"/>
        <w:rPr>
          <w:rFonts w:cs="Arial"/>
          <w:szCs w:val="22"/>
        </w:rPr>
      </w:pPr>
    </w:p>
    <w:p w14:paraId="333FC893" w14:textId="69894A6F" w:rsidR="005D0F54" w:rsidRPr="00C6290E" w:rsidRDefault="005D0F54" w:rsidP="0056080A">
      <w:pPr>
        <w:pStyle w:val="Listenabsatz"/>
        <w:numPr>
          <w:ilvl w:val="1"/>
          <w:numId w:val="49"/>
        </w:numPr>
        <w:ind w:left="567" w:hanging="567"/>
      </w:pPr>
      <w:r w:rsidRPr="00C6290E">
        <w:t>Les revenus issus du placement des fonds sont versés au fonds concerné.</w:t>
      </w:r>
    </w:p>
    <w:p w14:paraId="13B4EC98" w14:textId="1EE53D24" w:rsidR="00886DA9" w:rsidRPr="00C6290E" w:rsidRDefault="00886DA9" w:rsidP="0056080A">
      <w:pPr>
        <w:tabs>
          <w:tab w:val="left" w:pos="567"/>
        </w:tabs>
        <w:ind w:right="-1"/>
        <w:jc w:val="both"/>
        <w:rPr>
          <w:rFonts w:cs="Arial"/>
          <w:szCs w:val="22"/>
        </w:rPr>
      </w:pPr>
    </w:p>
    <w:p w14:paraId="1F29D911" w14:textId="4C514606" w:rsidR="00B503BA" w:rsidRPr="00C6290E" w:rsidRDefault="00886DA9" w:rsidP="00A43519">
      <w:pPr>
        <w:pStyle w:val="Listenabsatz"/>
        <w:numPr>
          <w:ilvl w:val="1"/>
          <w:numId w:val="49"/>
        </w:numPr>
        <w:tabs>
          <w:tab w:val="left" w:pos="567"/>
        </w:tabs>
        <w:ind w:left="567" w:hanging="567"/>
        <w:jc w:val="both"/>
        <w:rPr>
          <w:rFonts w:cs="Arial"/>
          <w:szCs w:val="22"/>
        </w:rPr>
      </w:pPr>
      <w:r w:rsidRPr="00C6290E">
        <w:t>Les éventuels produits résultants de la location de l’infrastructure scolaire à un tiers sont alloués au fonds «Biens immobiliers».</w:t>
      </w:r>
    </w:p>
    <w:p w14:paraId="64FB68F4" w14:textId="77777777" w:rsidR="00A43519" w:rsidRPr="00C6290E" w:rsidRDefault="00A43519" w:rsidP="00A43519">
      <w:pPr>
        <w:pStyle w:val="Listenabsatz"/>
        <w:rPr>
          <w:rFonts w:cs="Arial"/>
          <w:szCs w:val="22"/>
        </w:rPr>
      </w:pPr>
    </w:p>
    <w:p w14:paraId="698C7429" w14:textId="6D44787F" w:rsidR="00A43519" w:rsidRPr="00C6290E" w:rsidRDefault="00A43519" w:rsidP="00A43519">
      <w:pPr>
        <w:pStyle w:val="Listenabsatz"/>
        <w:numPr>
          <w:ilvl w:val="1"/>
          <w:numId w:val="49"/>
        </w:numPr>
        <w:tabs>
          <w:tab w:val="left" w:pos="567"/>
        </w:tabs>
        <w:ind w:left="567" w:right="-1" w:hanging="567"/>
        <w:jc w:val="both"/>
        <w:rPr>
          <w:rFonts w:cs="Arial"/>
          <w:szCs w:val="22"/>
        </w:rPr>
      </w:pPr>
      <w:r w:rsidRPr="00C6290E">
        <w:t xml:space="preserve">Les éventuels produits résultants de la vente de biens mobiliers pas encore amortis sont crédités au fonds </w:t>
      </w:r>
      <w:r w:rsidR="00E21CF3" w:rsidRPr="00C6290E">
        <w:t>«</w:t>
      </w:r>
      <w:r w:rsidR="00E21CF3">
        <w:rPr>
          <w:szCs w:val="22"/>
        </w:rPr>
        <w:t>biens meubles</w:t>
      </w:r>
      <w:r w:rsidR="00E21CF3" w:rsidRPr="00C6290E">
        <w:t>»</w:t>
      </w:r>
    </w:p>
    <w:p w14:paraId="23791A20" w14:textId="1B411BAC" w:rsidR="00B503BA" w:rsidRPr="00C6290E" w:rsidRDefault="00B503BA" w:rsidP="00534A85">
      <w:pPr>
        <w:ind w:right="-1"/>
        <w:jc w:val="both"/>
        <w:rPr>
          <w:rFonts w:cs="Arial"/>
          <w:sz w:val="23"/>
          <w:szCs w:val="23"/>
        </w:rPr>
      </w:pPr>
    </w:p>
    <w:p w14:paraId="0EEFB314" w14:textId="77777777" w:rsidR="00291157" w:rsidRPr="00C6290E" w:rsidRDefault="00291157" w:rsidP="00534A85">
      <w:pPr>
        <w:ind w:right="-1"/>
        <w:jc w:val="both"/>
        <w:rPr>
          <w:rFonts w:cs="Arial"/>
          <w:sz w:val="23"/>
          <w:szCs w:val="23"/>
        </w:rPr>
      </w:pPr>
    </w:p>
    <w:p w14:paraId="2782B7F5" w14:textId="77777777" w:rsidR="00E21CF3" w:rsidRDefault="00E21CF3">
      <w:pPr>
        <w:rPr>
          <w:b/>
          <w:sz w:val="23"/>
        </w:rPr>
      </w:pPr>
      <w:r>
        <w:rPr>
          <w:b/>
          <w:sz w:val="23"/>
        </w:rPr>
        <w:br w:type="page"/>
      </w:r>
    </w:p>
    <w:p w14:paraId="7C659498" w14:textId="677F8A82" w:rsidR="0030669C" w:rsidRPr="00C6290E" w:rsidRDefault="009C7005" w:rsidP="00534A85">
      <w:pPr>
        <w:ind w:right="-1"/>
        <w:jc w:val="both"/>
        <w:rPr>
          <w:b/>
          <w:sz w:val="23"/>
        </w:rPr>
      </w:pPr>
      <w:r w:rsidRPr="00C6290E">
        <w:rPr>
          <w:b/>
          <w:sz w:val="23"/>
        </w:rPr>
        <w:lastRenderedPageBreak/>
        <w:t>3. Utilisation des ressources</w:t>
      </w:r>
      <w:r w:rsidR="00E21CF3">
        <w:rPr>
          <w:b/>
          <w:sz w:val="23"/>
        </w:rPr>
        <w:t xml:space="preserve"> affectées</w:t>
      </w:r>
    </w:p>
    <w:p w14:paraId="6A14F9D0" w14:textId="77777777" w:rsidR="009C7005" w:rsidRPr="00C6290E" w:rsidRDefault="009C7005" w:rsidP="00534A85">
      <w:pPr>
        <w:ind w:right="-1"/>
        <w:jc w:val="both"/>
        <w:rPr>
          <w:rFonts w:cs="Arial"/>
          <w:sz w:val="23"/>
          <w:szCs w:val="23"/>
        </w:rPr>
      </w:pPr>
    </w:p>
    <w:p w14:paraId="60029250" w14:textId="59E3A72C" w:rsidR="0030669C" w:rsidRPr="00C6290E" w:rsidRDefault="00DB6F49" w:rsidP="0056080A">
      <w:pPr>
        <w:tabs>
          <w:tab w:val="left" w:pos="567"/>
        </w:tabs>
        <w:autoSpaceDE w:val="0"/>
        <w:autoSpaceDN w:val="0"/>
        <w:adjustRightInd w:val="0"/>
        <w:spacing w:after="120"/>
        <w:ind w:left="567" w:hanging="567"/>
      </w:pPr>
      <w:r w:rsidRPr="00C6290E">
        <w:t>3.1</w:t>
      </w:r>
      <w:r w:rsidRPr="00C6290E">
        <w:tab/>
        <w:t>Ressources du fonds «Biens immobiliers»</w:t>
      </w:r>
    </w:p>
    <w:p w14:paraId="41C085B7" w14:textId="609E513A" w:rsidR="00FD29E0" w:rsidRPr="00C6290E" w:rsidRDefault="00B225FA" w:rsidP="0056080A">
      <w:pPr>
        <w:tabs>
          <w:tab w:val="left" w:pos="567"/>
        </w:tabs>
        <w:autoSpaceDE w:val="0"/>
        <w:autoSpaceDN w:val="0"/>
        <w:adjustRightInd w:val="0"/>
        <w:spacing w:after="60"/>
        <w:ind w:left="567" w:hanging="567"/>
        <w:rPr>
          <w:rFonts w:cs="Arial"/>
          <w:szCs w:val="22"/>
        </w:rPr>
      </w:pPr>
      <w:r w:rsidRPr="00C6290E">
        <w:t>3.1.1</w:t>
      </w:r>
      <w:r w:rsidRPr="00C6290E">
        <w:tab/>
        <w:t xml:space="preserve">Les ressources de ce fonds peuvent être utilisées en vue de l’approvisionnement/du réapprovisionnement et des dépenses/frais liés à des investissements (quote-part d’intérêts de 50% et amortissements) des offres régies dans </w:t>
      </w:r>
      <w:proofErr w:type="gramStart"/>
      <w:r w:rsidRPr="00C6290E">
        <w:t>le con</w:t>
      </w:r>
      <w:r w:rsidR="00E21CF3">
        <w:t>vention</w:t>
      </w:r>
      <w:proofErr w:type="gramEnd"/>
      <w:r w:rsidRPr="00C6290E">
        <w:t xml:space="preserve"> de prestations dans les biens d’équipement suivants ou pour les coûts de location des installations correspondantes ainsi que leur part dans les coûts totaux d’infrastructure:</w:t>
      </w:r>
    </w:p>
    <w:p w14:paraId="5DB3F415" w14:textId="17474B92" w:rsidR="0030669C" w:rsidRPr="00C6290E" w:rsidRDefault="00FD29E0" w:rsidP="0056080A">
      <w:pPr>
        <w:pStyle w:val="Listenabsatz"/>
        <w:numPr>
          <w:ilvl w:val="0"/>
          <w:numId w:val="42"/>
        </w:numPr>
        <w:tabs>
          <w:tab w:val="left" w:pos="993"/>
        </w:tabs>
        <w:autoSpaceDE w:val="0"/>
        <w:autoSpaceDN w:val="0"/>
        <w:adjustRightInd w:val="0"/>
        <w:spacing w:after="60"/>
        <w:ind w:left="357" w:firstLine="210"/>
        <w:contextualSpacing w:val="0"/>
      </w:pPr>
      <w:r w:rsidRPr="00C6290E">
        <w:t>Structure, gros œuvre, enveloppe du bâtiment,</w:t>
      </w:r>
    </w:p>
    <w:p w14:paraId="5F6DF842" w14:textId="5A2607EC" w:rsidR="00886DA9" w:rsidRPr="00C6290E" w:rsidRDefault="002F3092" w:rsidP="0056080A">
      <w:pPr>
        <w:pStyle w:val="Listenabsatz"/>
        <w:numPr>
          <w:ilvl w:val="0"/>
          <w:numId w:val="42"/>
        </w:numPr>
        <w:tabs>
          <w:tab w:val="left" w:pos="993"/>
        </w:tabs>
        <w:autoSpaceDE w:val="0"/>
        <w:autoSpaceDN w:val="0"/>
        <w:adjustRightInd w:val="0"/>
        <w:spacing w:after="60"/>
        <w:ind w:left="357" w:firstLine="210"/>
        <w:contextualSpacing w:val="0"/>
        <w:rPr>
          <w:rFonts w:cs="Arial"/>
          <w:szCs w:val="22"/>
        </w:rPr>
      </w:pPr>
      <w:r w:rsidRPr="00C6290E">
        <w:t>installations techniques du bâtiment,</w:t>
      </w:r>
    </w:p>
    <w:p w14:paraId="71B4283B" w14:textId="37814551" w:rsidR="009D7CCB" w:rsidRPr="00C6290E" w:rsidRDefault="00886DA9" w:rsidP="0056080A">
      <w:pPr>
        <w:pStyle w:val="Listenabsatz"/>
        <w:numPr>
          <w:ilvl w:val="0"/>
          <w:numId w:val="42"/>
        </w:numPr>
        <w:tabs>
          <w:tab w:val="left" w:pos="993"/>
        </w:tabs>
        <w:autoSpaceDE w:val="0"/>
        <w:autoSpaceDN w:val="0"/>
        <w:adjustRightInd w:val="0"/>
        <w:spacing w:after="120"/>
        <w:ind w:firstLine="207"/>
        <w:rPr>
          <w:rFonts w:cs="Arial"/>
          <w:szCs w:val="22"/>
        </w:rPr>
      </w:pPr>
      <w:r w:rsidRPr="00C6290E">
        <w:t>équipements.</w:t>
      </w:r>
    </w:p>
    <w:p w14:paraId="754D154E" w14:textId="0ADBBDC2" w:rsidR="00321AC6" w:rsidRPr="00C6290E" w:rsidRDefault="00321AC6" w:rsidP="0030669C">
      <w:pPr>
        <w:tabs>
          <w:tab w:val="left" w:pos="567"/>
        </w:tabs>
        <w:autoSpaceDE w:val="0"/>
        <w:autoSpaceDN w:val="0"/>
        <w:adjustRightInd w:val="0"/>
        <w:spacing w:after="240"/>
        <w:ind w:left="567"/>
        <w:rPr>
          <w:rFonts w:cs="Arial"/>
          <w:szCs w:val="22"/>
        </w:rPr>
      </w:pPr>
      <w:r w:rsidRPr="00C6290E">
        <w:t>La durée d’amortissement conformément aux alinéas a-c s’appuie sur les directives du modèle de tarification.</w:t>
      </w:r>
    </w:p>
    <w:p w14:paraId="5BA7AE7B" w14:textId="79D2C029" w:rsidR="0030669C" w:rsidRPr="00C6290E" w:rsidRDefault="00B225FA" w:rsidP="0056080A">
      <w:pPr>
        <w:tabs>
          <w:tab w:val="left" w:pos="567"/>
        </w:tabs>
        <w:autoSpaceDE w:val="0"/>
        <w:autoSpaceDN w:val="0"/>
        <w:adjustRightInd w:val="0"/>
        <w:spacing w:after="60"/>
        <w:ind w:left="567" w:hanging="567"/>
      </w:pPr>
      <w:r w:rsidRPr="00C6290E">
        <w:t>3.1.2</w:t>
      </w:r>
      <w:r w:rsidRPr="00C6290E">
        <w:tab/>
        <w:t>Les ressources peuvent également être utilisées en vue</w:t>
      </w:r>
    </w:p>
    <w:p w14:paraId="67248F0D" w14:textId="77777777" w:rsidR="007A5637" w:rsidRPr="00C6290E" w:rsidRDefault="00B225FA" w:rsidP="0056080A">
      <w:pPr>
        <w:pStyle w:val="Listenabsatz"/>
        <w:numPr>
          <w:ilvl w:val="0"/>
          <w:numId w:val="47"/>
        </w:numPr>
        <w:tabs>
          <w:tab w:val="left" w:pos="570"/>
          <w:tab w:val="left" w:pos="993"/>
        </w:tabs>
        <w:autoSpaceDE w:val="0"/>
        <w:autoSpaceDN w:val="0"/>
        <w:adjustRightInd w:val="0"/>
        <w:spacing w:after="60"/>
        <w:ind w:left="357" w:firstLine="210"/>
        <w:contextualSpacing w:val="0"/>
        <w:rPr>
          <w:rFonts w:cs="Arial"/>
          <w:szCs w:val="22"/>
        </w:rPr>
      </w:pPr>
      <w:r w:rsidRPr="00C6290E">
        <w:t>du paiement partiel de rentes convenues pour le droit de superficie,</w:t>
      </w:r>
    </w:p>
    <w:p w14:paraId="421A8F21" w14:textId="1B85629B" w:rsidR="00B225FA" w:rsidRPr="00C6290E" w:rsidRDefault="00B225FA" w:rsidP="0030669C">
      <w:pPr>
        <w:pStyle w:val="Listenabsatz"/>
        <w:numPr>
          <w:ilvl w:val="0"/>
          <w:numId w:val="47"/>
        </w:numPr>
        <w:tabs>
          <w:tab w:val="left" w:pos="570"/>
          <w:tab w:val="left" w:pos="993"/>
        </w:tabs>
        <w:autoSpaceDE w:val="0"/>
        <w:autoSpaceDN w:val="0"/>
        <w:adjustRightInd w:val="0"/>
        <w:spacing w:after="60"/>
        <w:ind w:left="993" w:hanging="426"/>
        <w:contextualSpacing w:val="0"/>
        <w:rPr>
          <w:rFonts w:cs="Arial"/>
          <w:szCs w:val="22"/>
        </w:rPr>
      </w:pPr>
      <w:r w:rsidRPr="00C6290E">
        <w:t>de la rémunération et de l’amortissement de crédits dans le cadre de l’achat de terrains,</w:t>
      </w:r>
    </w:p>
    <w:p w14:paraId="343CD1FA" w14:textId="55A3BE9D" w:rsidR="00B225FA" w:rsidRPr="00C6290E" w:rsidRDefault="0054638E" w:rsidP="0030669C">
      <w:pPr>
        <w:pStyle w:val="Listenabsatz"/>
        <w:numPr>
          <w:ilvl w:val="0"/>
          <w:numId w:val="47"/>
        </w:numPr>
        <w:tabs>
          <w:tab w:val="left" w:pos="570"/>
          <w:tab w:val="left" w:pos="993"/>
        </w:tabs>
        <w:ind w:left="993" w:hanging="426"/>
        <w:rPr>
          <w:rFonts w:cs="Arial"/>
          <w:szCs w:val="22"/>
        </w:rPr>
      </w:pPr>
      <w:r w:rsidRPr="00C6290E">
        <w:t>de l’amortissement pendant 25 ans de contributions aux investissements octroyées par le canton jusqu’au 31 décembre 2021.</w:t>
      </w:r>
    </w:p>
    <w:p w14:paraId="279C6A17" w14:textId="77777777" w:rsidR="0014163E" w:rsidRPr="00C6290E" w:rsidRDefault="0014163E" w:rsidP="0056080A">
      <w:pPr>
        <w:tabs>
          <w:tab w:val="left" w:pos="567"/>
        </w:tabs>
        <w:ind w:right="-1"/>
        <w:jc w:val="both"/>
        <w:rPr>
          <w:rFonts w:cs="Arial"/>
          <w:sz w:val="23"/>
          <w:szCs w:val="23"/>
        </w:rPr>
      </w:pPr>
    </w:p>
    <w:p w14:paraId="4ADD9141" w14:textId="3ED8AAC7" w:rsidR="0030669C" w:rsidRPr="00C6290E" w:rsidRDefault="0014163E" w:rsidP="0014163E">
      <w:pPr>
        <w:tabs>
          <w:tab w:val="left" w:pos="567"/>
        </w:tabs>
        <w:autoSpaceDE w:val="0"/>
        <w:autoSpaceDN w:val="0"/>
        <w:adjustRightInd w:val="0"/>
        <w:spacing w:after="120"/>
        <w:ind w:left="567" w:hanging="567"/>
      </w:pPr>
      <w:r w:rsidRPr="00C6290E">
        <w:t>3.2</w:t>
      </w:r>
      <w:r w:rsidRPr="00C6290E">
        <w:tab/>
        <w:t>Ressources du fonds «Biens m</w:t>
      </w:r>
      <w:r w:rsidR="00E21CF3">
        <w:t>eubles</w:t>
      </w:r>
      <w:r w:rsidRPr="00C6290E">
        <w:t>»</w:t>
      </w:r>
    </w:p>
    <w:p w14:paraId="517267FD" w14:textId="281C5A66" w:rsidR="0014163E" w:rsidRPr="00C6290E" w:rsidRDefault="0014163E" w:rsidP="0056080A">
      <w:pPr>
        <w:rPr>
          <w:rFonts w:cs="Arial"/>
          <w:szCs w:val="22"/>
        </w:rPr>
      </w:pPr>
      <w:r w:rsidRPr="00C6290E">
        <w:t xml:space="preserve">Les ressources de ce fonds (groupes de comptes Biens </w:t>
      </w:r>
      <w:proofErr w:type="spellStart"/>
      <w:r w:rsidRPr="00C6290E">
        <w:t>m</w:t>
      </w:r>
      <w:r w:rsidR="00E21CF3">
        <w:t>eubles</w:t>
      </w:r>
      <w:r w:rsidRPr="00C6290E">
        <w:t>s</w:t>
      </w:r>
      <w:proofErr w:type="spellEnd"/>
      <w:r w:rsidRPr="00C6290E">
        <w:t>) peuvent être utilisées en vue de l’amortissement et de l’approvisionnement/du réapprovisionnement de mobilier et d’équipement technique mobile.</w:t>
      </w:r>
    </w:p>
    <w:p w14:paraId="116AA981" w14:textId="77777777" w:rsidR="0014163E" w:rsidRPr="00C6290E" w:rsidRDefault="0014163E" w:rsidP="0056080A">
      <w:pPr>
        <w:rPr>
          <w:rFonts w:cs="Arial"/>
          <w:szCs w:val="22"/>
          <w:lang w:eastAsia="de-CH"/>
        </w:rPr>
      </w:pPr>
    </w:p>
    <w:p w14:paraId="54AB8961" w14:textId="219741A9" w:rsidR="0014163E" w:rsidRPr="002D70F1" w:rsidRDefault="0014163E" w:rsidP="0056080A">
      <w:pPr>
        <w:tabs>
          <w:tab w:val="left" w:pos="567"/>
        </w:tabs>
      </w:pPr>
      <w:r w:rsidRPr="00C6290E">
        <w:t>3.3</w:t>
      </w:r>
      <w:r w:rsidRPr="00C6290E">
        <w:tab/>
        <w:t>Les ressources des fonds «Biens immobiliers» et «Biens m</w:t>
      </w:r>
      <w:r w:rsidR="002D70F1">
        <w:t>euble</w:t>
      </w:r>
      <w:r w:rsidRPr="00C6290E">
        <w:t xml:space="preserve">s» ne doivent pas être utilisées en vue du financement de coûts d’exploitation et d’entretien de l’infrastructure, dépenses couvertes par le </w:t>
      </w:r>
      <w:r w:rsidR="002D70F1" w:rsidRPr="002D70F1">
        <w:t>forfait d’exploitation</w:t>
      </w:r>
      <w:r w:rsidRPr="00C6290E">
        <w:t>. Ils désignent notamment les frais de chauffage, de nettoyage, liés au gardiennage et aux activités de jardinage, de réparations et de «petit» entretien, liés à l’infrastructure informatique et logicielle ainsi qu’aux licences de logiciels.</w:t>
      </w:r>
    </w:p>
    <w:p w14:paraId="4D71DE95" w14:textId="77777777" w:rsidR="0014163E" w:rsidRPr="00C6290E" w:rsidRDefault="0014163E" w:rsidP="0056080A">
      <w:pPr>
        <w:rPr>
          <w:rFonts w:cs="Arial"/>
          <w:szCs w:val="22"/>
          <w:lang w:eastAsia="de-CH"/>
        </w:rPr>
      </w:pPr>
    </w:p>
    <w:p w14:paraId="39DB551E" w14:textId="77777777" w:rsidR="00BE2CAD" w:rsidRPr="00C6290E" w:rsidRDefault="00BE2CAD" w:rsidP="00BE2CAD">
      <w:pPr>
        <w:ind w:right="-1"/>
        <w:jc w:val="both"/>
        <w:rPr>
          <w:rFonts w:cs="Arial"/>
          <w:sz w:val="23"/>
          <w:szCs w:val="23"/>
        </w:rPr>
      </w:pPr>
    </w:p>
    <w:p w14:paraId="311A4C05" w14:textId="7D524FB9" w:rsidR="0030669C" w:rsidRPr="00C6290E" w:rsidRDefault="00BE2CAD" w:rsidP="00BE2CAD">
      <w:pPr>
        <w:spacing w:after="120"/>
        <w:ind w:right="-1"/>
        <w:jc w:val="both"/>
        <w:rPr>
          <w:b/>
          <w:sz w:val="23"/>
        </w:rPr>
      </w:pPr>
      <w:r w:rsidRPr="00C6290E">
        <w:rPr>
          <w:b/>
          <w:sz w:val="23"/>
        </w:rPr>
        <w:t>4. Contrôle de la constitution et de l’utilisation des fonds</w:t>
      </w:r>
    </w:p>
    <w:p w14:paraId="463E1EB5" w14:textId="77777777" w:rsidR="00BE2CAD" w:rsidRPr="00C6290E" w:rsidRDefault="00BE2CAD" w:rsidP="00BE2CAD">
      <w:pPr>
        <w:spacing w:after="120"/>
        <w:ind w:right="-1"/>
        <w:jc w:val="both"/>
        <w:rPr>
          <w:rFonts w:cs="Arial"/>
          <w:szCs w:val="22"/>
        </w:rPr>
      </w:pPr>
      <w:r w:rsidRPr="00C6290E">
        <w:t>L’alimentation des fonds et l’utilisation des ressources correspondantes doivent être consignées de manière détaillée dans un document comptable.</w:t>
      </w:r>
    </w:p>
    <w:p w14:paraId="582CE0DE" w14:textId="32628F6D" w:rsidR="00BE2CAD" w:rsidRPr="00C6290E" w:rsidRDefault="00BE2CAD" w:rsidP="0056080A">
      <w:pPr>
        <w:ind w:right="-1"/>
        <w:jc w:val="both"/>
        <w:rPr>
          <w:rFonts w:cs="Arial"/>
          <w:szCs w:val="22"/>
        </w:rPr>
      </w:pPr>
      <w:r w:rsidRPr="00C6290E">
        <w:t xml:space="preserve">Chaque année, la </w:t>
      </w:r>
      <w:r w:rsidRPr="00C6290E">
        <w:rPr>
          <w:highlight w:val="yellow"/>
        </w:rPr>
        <w:t>direction</w:t>
      </w:r>
      <w:r w:rsidRPr="00C6290E">
        <w:t xml:space="preserve"> rend compte des réserves des fonds et de l’utilisation conforme des ressources au </w:t>
      </w:r>
      <w:r w:rsidRPr="00C6290E">
        <w:rPr>
          <w:highlight w:val="yellow"/>
        </w:rPr>
        <w:t>conseil d’administration/conseil de fondation</w:t>
      </w:r>
      <w:r w:rsidRPr="00C6290E">
        <w:t>. Ce rapport est examiné dans le cadre de la révision des comptes et est publié en annexe des comptes annuels.</w:t>
      </w:r>
    </w:p>
    <w:p w14:paraId="63ECCEBC" w14:textId="77777777" w:rsidR="00BE2CAD" w:rsidRPr="00C6290E" w:rsidRDefault="00BE2CAD" w:rsidP="0056080A">
      <w:pPr>
        <w:rPr>
          <w:rFonts w:cs="Arial"/>
          <w:szCs w:val="22"/>
          <w:lang w:eastAsia="de-CH"/>
        </w:rPr>
      </w:pPr>
    </w:p>
    <w:p w14:paraId="7B724057" w14:textId="77777777" w:rsidR="00F52C34" w:rsidRPr="00C6290E" w:rsidRDefault="00F52C34" w:rsidP="0056080A">
      <w:pPr>
        <w:rPr>
          <w:rFonts w:cs="Arial"/>
          <w:sz w:val="23"/>
          <w:szCs w:val="23"/>
        </w:rPr>
      </w:pPr>
    </w:p>
    <w:p w14:paraId="7F801FA9" w14:textId="753CEB03" w:rsidR="00E544EA" w:rsidRPr="00C6290E" w:rsidRDefault="00BE2CAD" w:rsidP="0056080A">
      <w:pPr>
        <w:spacing w:after="120"/>
        <w:ind w:right="-1"/>
        <w:jc w:val="both"/>
        <w:rPr>
          <w:rFonts w:cs="Arial"/>
          <w:b/>
          <w:sz w:val="23"/>
          <w:szCs w:val="23"/>
        </w:rPr>
      </w:pPr>
      <w:r w:rsidRPr="00C6290E">
        <w:rPr>
          <w:b/>
          <w:sz w:val="23"/>
        </w:rPr>
        <w:t>5. Placement de ressources libres des fonds</w:t>
      </w:r>
    </w:p>
    <w:p w14:paraId="791A1D24" w14:textId="0B30A36E" w:rsidR="00E544EA" w:rsidRPr="00C6290E" w:rsidRDefault="00E544EA" w:rsidP="00E544EA">
      <w:pPr>
        <w:ind w:right="-1"/>
        <w:jc w:val="both"/>
        <w:rPr>
          <w:rFonts w:cs="Arial"/>
          <w:szCs w:val="22"/>
        </w:rPr>
      </w:pPr>
      <w:r w:rsidRPr="00C6290E">
        <w:t>Si des ressources liquides libres des fonds se constituent, elles peuvent être investies dans des placements conformément aux dispositions applicables (paragraphe 1.1) ou être allouées sous forme de prêt en vue du financement de projets d’infrastructure d’autres secteurs ou activités de l’institution.</w:t>
      </w:r>
    </w:p>
    <w:p w14:paraId="134875E1" w14:textId="77777777" w:rsidR="00B503BA" w:rsidRPr="00C6290E" w:rsidRDefault="00B503BA" w:rsidP="00E544EA">
      <w:pPr>
        <w:ind w:right="-1"/>
        <w:jc w:val="both"/>
        <w:rPr>
          <w:rFonts w:cs="Arial"/>
          <w:sz w:val="23"/>
          <w:szCs w:val="23"/>
        </w:rPr>
      </w:pPr>
    </w:p>
    <w:p w14:paraId="5DDEE2FF" w14:textId="77777777" w:rsidR="00E544EA" w:rsidRPr="00C6290E" w:rsidRDefault="00E544EA" w:rsidP="00E544EA">
      <w:pPr>
        <w:ind w:right="-1"/>
        <w:jc w:val="both"/>
        <w:rPr>
          <w:rFonts w:cs="Arial"/>
          <w:sz w:val="23"/>
          <w:szCs w:val="23"/>
        </w:rPr>
      </w:pPr>
    </w:p>
    <w:p w14:paraId="4AB73B8F" w14:textId="48A0FF03" w:rsidR="00B503BA" w:rsidRPr="00C6290E" w:rsidRDefault="00BE2CAD" w:rsidP="0056080A">
      <w:pPr>
        <w:spacing w:after="120"/>
        <w:ind w:right="-1"/>
        <w:jc w:val="both"/>
        <w:rPr>
          <w:rFonts w:cs="Arial"/>
          <w:b/>
          <w:sz w:val="23"/>
          <w:szCs w:val="23"/>
        </w:rPr>
      </w:pPr>
      <w:r w:rsidRPr="00C6290E">
        <w:rPr>
          <w:b/>
          <w:sz w:val="23"/>
        </w:rPr>
        <w:t>6. Contributions aux investissements soumises à une obligation de remboursement</w:t>
      </w:r>
    </w:p>
    <w:p w14:paraId="03BD47BD" w14:textId="023B9671" w:rsidR="00B503BA" w:rsidRPr="00C6290E" w:rsidRDefault="007A5637" w:rsidP="00534A85">
      <w:pPr>
        <w:ind w:right="-1"/>
        <w:jc w:val="both"/>
        <w:rPr>
          <w:rFonts w:cs="Arial"/>
          <w:szCs w:val="22"/>
        </w:rPr>
      </w:pPr>
      <w:r w:rsidRPr="00C6290E">
        <w:t xml:space="preserve">Les contributions aux investissements soumises à une obligation de remboursement du canton doivent être gérées comme des dettes à long terme dans les capitaux étrangers de catégorie </w:t>
      </w:r>
      <w:r w:rsidRPr="00C6290E">
        <w:lastRenderedPageBreak/>
        <w:t>250. Le montant dû l’année suivante doit être comptabilisé comme des dettes à court terme de catégorie 220.</w:t>
      </w:r>
    </w:p>
    <w:p w14:paraId="0F75CE4B" w14:textId="4534F2C3" w:rsidR="00B503BA" w:rsidRPr="00C6290E" w:rsidRDefault="00B503BA" w:rsidP="00534A85">
      <w:pPr>
        <w:ind w:right="-1"/>
        <w:jc w:val="both"/>
        <w:rPr>
          <w:rFonts w:cs="Arial"/>
          <w:szCs w:val="22"/>
        </w:rPr>
      </w:pPr>
    </w:p>
    <w:p w14:paraId="3577C24D" w14:textId="77777777" w:rsidR="00B503BA" w:rsidRPr="00C6290E" w:rsidRDefault="00B503BA" w:rsidP="00534A85">
      <w:pPr>
        <w:ind w:right="-1"/>
        <w:jc w:val="both"/>
        <w:rPr>
          <w:rFonts w:cs="Arial"/>
          <w:sz w:val="23"/>
          <w:szCs w:val="23"/>
        </w:rPr>
      </w:pPr>
    </w:p>
    <w:p w14:paraId="4E65E082" w14:textId="43072399" w:rsidR="009C7005" w:rsidRPr="00C6290E" w:rsidRDefault="00BE2CAD" w:rsidP="0056080A">
      <w:pPr>
        <w:spacing w:after="120"/>
        <w:ind w:right="-1"/>
        <w:jc w:val="both"/>
        <w:rPr>
          <w:rFonts w:cs="Arial"/>
          <w:b/>
          <w:sz w:val="23"/>
          <w:szCs w:val="23"/>
        </w:rPr>
      </w:pPr>
      <w:r w:rsidRPr="00C6290E">
        <w:rPr>
          <w:b/>
          <w:sz w:val="23"/>
        </w:rPr>
        <w:t>7. Utilisation des ressources en cas de liquidation du fonds</w:t>
      </w:r>
    </w:p>
    <w:p w14:paraId="58E33AC0" w14:textId="1C17CEEF" w:rsidR="0030669C" w:rsidRPr="00C6290E" w:rsidRDefault="00B503BA" w:rsidP="002D72F5">
      <w:pPr>
        <w:autoSpaceDE w:val="0"/>
        <w:autoSpaceDN w:val="0"/>
        <w:adjustRightInd w:val="0"/>
      </w:pPr>
      <w:r w:rsidRPr="00C6290E">
        <w:t>En cas de liquidation du fonds, les ressources restantes sont remises à l’OECO ou, en concertation avec ce dernier, à une institution du canton de Berne ayant le même objectif.</w:t>
      </w:r>
    </w:p>
    <w:p w14:paraId="7CA057F5" w14:textId="77777777" w:rsidR="00B503BA" w:rsidRPr="00C6290E" w:rsidRDefault="00B503BA" w:rsidP="00534A85">
      <w:pPr>
        <w:ind w:right="-1"/>
        <w:jc w:val="both"/>
        <w:rPr>
          <w:rFonts w:cs="Arial"/>
          <w:szCs w:val="22"/>
        </w:rPr>
      </w:pPr>
    </w:p>
    <w:p w14:paraId="2E5B5ECC" w14:textId="77777777" w:rsidR="00B503BA" w:rsidRPr="00C6290E" w:rsidRDefault="00B503BA" w:rsidP="00534A85">
      <w:pPr>
        <w:ind w:right="-1"/>
        <w:jc w:val="both"/>
        <w:rPr>
          <w:rFonts w:cs="Arial"/>
          <w:szCs w:val="22"/>
        </w:rPr>
      </w:pPr>
    </w:p>
    <w:p w14:paraId="2051B6E9" w14:textId="07CB7776" w:rsidR="0030669C" w:rsidRPr="00C6290E" w:rsidRDefault="00BE2CAD" w:rsidP="0056080A">
      <w:pPr>
        <w:spacing w:after="120"/>
        <w:ind w:right="-1"/>
        <w:jc w:val="both"/>
        <w:rPr>
          <w:b/>
          <w:sz w:val="23"/>
        </w:rPr>
      </w:pPr>
      <w:r w:rsidRPr="00C6290E">
        <w:rPr>
          <w:b/>
          <w:sz w:val="23"/>
        </w:rPr>
        <w:t>8. Compétences</w:t>
      </w:r>
    </w:p>
    <w:p w14:paraId="6C394A97" w14:textId="0456EC85" w:rsidR="00525D20" w:rsidRPr="00C6290E" w:rsidRDefault="00525D20" w:rsidP="00525D20">
      <w:pPr>
        <w:ind w:right="-1"/>
        <w:jc w:val="both"/>
        <w:rPr>
          <w:rFonts w:cs="Arial"/>
          <w:szCs w:val="22"/>
        </w:rPr>
      </w:pPr>
      <w:r w:rsidRPr="00C6290E">
        <w:t xml:space="preserve">La </w:t>
      </w:r>
      <w:r w:rsidRPr="00C6290E">
        <w:rPr>
          <w:highlight w:val="yellow"/>
        </w:rPr>
        <w:t>direction</w:t>
      </w:r>
      <w:r w:rsidRPr="00C6290E">
        <w:t xml:space="preserve"> demande au </w:t>
      </w:r>
      <w:r w:rsidRPr="00C6290E">
        <w:rPr>
          <w:highlight w:val="yellow"/>
        </w:rPr>
        <w:t>conseil d’administration/conseil de fondation</w:t>
      </w:r>
      <w:r w:rsidRPr="00C6290E">
        <w:t xml:space="preserve"> de prélever des ressources des fonds en vue d’une utilisation conforme à l’objectif, conformément au paragraphe 3. Elle décide des dépenses concrètes dans la limite du prélèvement autorisé.</w:t>
      </w:r>
    </w:p>
    <w:p w14:paraId="4E67AE16" w14:textId="77777777" w:rsidR="007A5637" w:rsidRPr="00C6290E" w:rsidRDefault="007A5637" w:rsidP="00525D20">
      <w:pPr>
        <w:ind w:right="-1"/>
        <w:jc w:val="both"/>
        <w:rPr>
          <w:rFonts w:cs="Arial"/>
          <w:szCs w:val="22"/>
        </w:rPr>
      </w:pPr>
    </w:p>
    <w:p w14:paraId="6D39B088" w14:textId="77777777" w:rsidR="00BF50F7" w:rsidRPr="00C6290E" w:rsidRDefault="00BF50F7">
      <w:pPr>
        <w:ind w:right="-1"/>
        <w:jc w:val="both"/>
        <w:rPr>
          <w:rFonts w:cs="Arial"/>
          <w:szCs w:val="22"/>
        </w:rPr>
      </w:pPr>
    </w:p>
    <w:p w14:paraId="5936520F" w14:textId="77777777" w:rsidR="00F36725" w:rsidRPr="00C6290E" w:rsidRDefault="0010198A">
      <w:pPr>
        <w:ind w:right="-1"/>
        <w:jc w:val="both"/>
        <w:rPr>
          <w:rFonts w:cs="Arial"/>
          <w:b/>
          <w:sz w:val="23"/>
          <w:szCs w:val="23"/>
        </w:rPr>
      </w:pPr>
      <w:r w:rsidRPr="00C6290E">
        <w:rPr>
          <w:b/>
          <w:sz w:val="23"/>
        </w:rPr>
        <w:t>9. Dispositions finales</w:t>
      </w:r>
    </w:p>
    <w:p w14:paraId="13F6DEA5" w14:textId="77777777" w:rsidR="00F36725" w:rsidRPr="00C6290E" w:rsidRDefault="00F36725">
      <w:pPr>
        <w:ind w:right="-1"/>
        <w:jc w:val="both"/>
        <w:rPr>
          <w:rFonts w:cs="Arial"/>
          <w:szCs w:val="22"/>
        </w:rPr>
      </w:pPr>
    </w:p>
    <w:p w14:paraId="79E2D658" w14:textId="162B6C11" w:rsidR="0030669C" w:rsidRPr="00C6290E" w:rsidRDefault="00F36725">
      <w:pPr>
        <w:ind w:right="-1"/>
        <w:jc w:val="both"/>
      </w:pPr>
      <w:r w:rsidRPr="00C6290E">
        <w:t xml:space="preserve">Le présent règlement a été voté par le </w:t>
      </w:r>
      <w:r w:rsidRPr="00C6290E">
        <w:rPr>
          <w:highlight w:val="yellow"/>
        </w:rPr>
        <w:t>conseil d’administration/conseil de fondation</w:t>
      </w:r>
      <w:r w:rsidRPr="00C6290E">
        <w:t xml:space="preserve"> le </w:t>
      </w:r>
      <w:proofErr w:type="spellStart"/>
      <w:r w:rsidRPr="00C6290E">
        <w:rPr>
          <w:highlight w:val="yellow"/>
        </w:rPr>
        <w:t>jj.mm.aaaa</w:t>
      </w:r>
      <w:proofErr w:type="spellEnd"/>
      <w:r w:rsidRPr="00C6290E">
        <w:t>. Il entre en vigueur avec effet rétroactif au 1er janvier 2022.</w:t>
      </w:r>
    </w:p>
    <w:p w14:paraId="19A2FEC2" w14:textId="77777777" w:rsidR="002A094A" w:rsidRPr="00C6290E" w:rsidRDefault="002A094A">
      <w:pPr>
        <w:ind w:right="-1"/>
        <w:jc w:val="both"/>
        <w:rPr>
          <w:rFonts w:cs="Arial"/>
          <w:szCs w:val="22"/>
        </w:rPr>
      </w:pPr>
    </w:p>
    <w:p w14:paraId="1D140F7A" w14:textId="77777777" w:rsidR="002A094A" w:rsidRPr="00C6290E" w:rsidRDefault="002A094A">
      <w:pPr>
        <w:ind w:right="-1"/>
        <w:jc w:val="both"/>
        <w:rPr>
          <w:rFonts w:cs="Arial"/>
          <w:szCs w:val="22"/>
        </w:rPr>
      </w:pPr>
    </w:p>
    <w:p w14:paraId="25A286BD" w14:textId="77777777" w:rsidR="00613B74" w:rsidRPr="00C6290E" w:rsidRDefault="00613B74">
      <w:pPr>
        <w:ind w:right="-1"/>
        <w:jc w:val="both"/>
        <w:rPr>
          <w:rFonts w:cs="Arial"/>
          <w:szCs w:val="22"/>
        </w:rPr>
      </w:pPr>
      <w:r w:rsidRPr="00C6290E">
        <w:rPr>
          <w:highlight w:val="yellow"/>
        </w:rPr>
        <w:t xml:space="preserve">Lieu, </w:t>
      </w:r>
      <w:proofErr w:type="spellStart"/>
      <w:r w:rsidRPr="00C6290E">
        <w:rPr>
          <w:highlight w:val="yellow"/>
        </w:rPr>
        <w:t>jj.mm.aaaa</w:t>
      </w:r>
      <w:proofErr w:type="spellEnd"/>
    </w:p>
    <w:p w14:paraId="6717C076" w14:textId="77777777" w:rsidR="00613B74" w:rsidRPr="00C6290E" w:rsidRDefault="00613B74">
      <w:pPr>
        <w:ind w:right="-1"/>
        <w:jc w:val="both"/>
        <w:rPr>
          <w:rFonts w:cs="Arial"/>
          <w:szCs w:val="22"/>
        </w:rPr>
      </w:pPr>
    </w:p>
    <w:p w14:paraId="0E45D5AC" w14:textId="3ED79C17" w:rsidR="0030669C" w:rsidRPr="00C6290E" w:rsidRDefault="00F36725">
      <w:pPr>
        <w:ind w:right="-1"/>
        <w:jc w:val="both"/>
      </w:pPr>
      <w:r w:rsidRPr="00C6290E">
        <w:rPr>
          <w:highlight w:val="yellow"/>
        </w:rPr>
        <w:t>Institution XXX</w:t>
      </w:r>
    </w:p>
    <w:p w14:paraId="38CADE68" w14:textId="77777777" w:rsidR="00F36725" w:rsidRPr="00C6290E" w:rsidRDefault="00F36725">
      <w:pPr>
        <w:ind w:right="-1"/>
        <w:jc w:val="both"/>
        <w:rPr>
          <w:rFonts w:cs="Arial"/>
          <w:szCs w:val="22"/>
        </w:rPr>
      </w:pPr>
    </w:p>
    <w:p w14:paraId="59C31193" w14:textId="77777777" w:rsidR="00F36725" w:rsidRPr="00C6290E" w:rsidRDefault="00F36725">
      <w:pPr>
        <w:ind w:right="-1"/>
        <w:jc w:val="both"/>
        <w:rPr>
          <w:rFonts w:cs="Arial"/>
          <w:szCs w:val="22"/>
        </w:rPr>
      </w:pPr>
    </w:p>
    <w:p w14:paraId="465728B4" w14:textId="77777777" w:rsidR="002D70F1" w:rsidRPr="00C31ED6" w:rsidRDefault="00F36725" w:rsidP="002D70F1">
      <w:pPr>
        <w:ind w:right="-1"/>
        <w:jc w:val="both"/>
      </w:pPr>
      <w:r w:rsidRPr="00C6290E">
        <w:t>Le/la président/e:</w:t>
      </w:r>
      <w:r w:rsidRPr="00C6290E">
        <w:tab/>
      </w:r>
      <w:r w:rsidRPr="00C6290E">
        <w:tab/>
      </w:r>
      <w:r w:rsidRPr="00C6290E">
        <w:tab/>
      </w:r>
      <w:r w:rsidRPr="00C6290E">
        <w:tab/>
        <w:t>Le/la vice-président/e:</w:t>
      </w:r>
    </w:p>
    <w:p w14:paraId="18C153F7" w14:textId="77777777" w:rsidR="002D70F1" w:rsidRPr="00C31ED6" w:rsidRDefault="002D70F1" w:rsidP="002D70F1">
      <w:pPr>
        <w:ind w:right="-1"/>
        <w:jc w:val="both"/>
      </w:pPr>
    </w:p>
    <w:p w14:paraId="4BBEE4A6" w14:textId="77777777" w:rsidR="002D70F1" w:rsidRPr="00C31ED6" w:rsidRDefault="002D70F1" w:rsidP="002D70F1">
      <w:pPr>
        <w:ind w:right="-1"/>
        <w:jc w:val="both"/>
      </w:pPr>
    </w:p>
    <w:p w14:paraId="75569DCD" w14:textId="77777777" w:rsidR="002D70F1" w:rsidRPr="00C31ED6" w:rsidRDefault="002D70F1" w:rsidP="002D70F1">
      <w:pPr>
        <w:ind w:right="-1"/>
        <w:jc w:val="both"/>
      </w:pPr>
    </w:p>
    <w:p w14:paraId="16F0B816" w14:textId="77777777" w:rsidR="002D70F1" w:rsidRPr="00C31ED6" w:rsidRDefault="002D70F1" w:rsidP="002D70F1">
      <w:pPr>
        <w:ind w:right="-1"/>
        <w:jc w:val="both"/>
      </w:pPr>
    </w:p>
    <w:p w14:paraId="2BD2EC26" w14:textId="77777777" w:rsidR="002D70F1" w:rsidRPr="00C31ED6" w:rsidRDefault="002D70F1" w:rsidP="002D70F1">
      <w:pPr>
        <w:ind w:right="-1"/>
        <w:jc w:val="both"/>
      </w:pPr>
    </w:p>
    <w:p w14:paraId="55BA4492" w14:textId="77777777" w:rsidR="002D70F1" w:rsidRPr="00C31ED6" w:rsidRDefault="002D70F1" w:rsidP="002D70F1">
      <w:pPr>
        <w:ind w:right="-1"/>
        <w:jc w:val="both"/>
      </w:pPr>
    </w:p>
    <w:p w14:paraId="65E57BEA" w14:textId="77777777" w:rsidR="002D70F1" w:rsidRPr="00C31ED6" w:rsidRDefault="002D70F1" w:rsidP="002D70F1">
      <w:pPr>
        <w:ind w:right="-1"/>
        <w:jc w:val="both"/>
      </w:pPr>
    </w:p>
    <w:p w14:paraId="2FCFA8E9" w14:textId="77777777" w:rsidR="002D70F1" w:rsidRPr="00C31ED6" w:rsidRDefault="002D70F1" w:rsidP="002D70F1">
      <w:pPr>
        <w:ind w:right="-1"/>
        <w:jc w:val="both"/>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3"/>
        <w:gridCol w:w="986"/>
        <w:gridCol w:w="3594"/>
        <w:gridCol w:w="1842"/>
        <w:gridCol w:w="1842"/>
      </w:tblGrid>
      <w:tr w:rsidR="002D70F1" w:rsidRPr="00C31ED6" w14:paraId="01213D7D" w14:textId="77777777" w:rsidTr="00075710">
        <w:tc>
          <w:tcPr>
            <w:tcW w:w="988" w:type="dxa"/>
          </w:tcPr>
          <w:p w14:paraId="4C8FB182" w14:textId="77777777" w:rsidR="002D70F1" w:rsidRPr="00C31ED6" w:rsidRDefault="002D70F1" w:rsidP="00075710">
            <w:pPr>
              <w:rPr>
                <w:rFonts w:cs="Arial"/>
                <w:color w:val="808080" w:themeColor="background1" w:themeShade="80"/>
                <w:sz w:val="12"/>
                <w:szCs w:val="12"/>
              </w:rPr>
            </w:pPr>
            <w:r w:rsidRPr="00C31ED6">
              <w:rPr>
                <w:rFonts w:cs="Arial"/>
                <w:color w:val="808080" w:themeColor="background1" w:themeShade="80"/>
                <w:sz w:val="12"/>
                <w:szCs w:val="12"/>
              </w:rPr>
              <w:t>No. Doc. :</w:t>
            </w:r>
          </w:p>
        </w:tc>
        <w:tc>
          <w:tcPr>
            <w:tcW w:w="992" w:type="dxa"/>
          </w:tcPr>
          <w:p w14:paraId="3F99B147" w14:textId="26D6F4A4" w:rsidR="002D70F1" w:rsidRPr="00C31ED6" w:rsidRDefault="002D70F1" w:rsidP="00075710">
            <w:pPr>
              <w:rPr>
                <w:rFonts w:cs="Arial"/>
                <w:color w:val="808080" w:themeColor="background1" w:themeShade="80"/>
                <w:sz w:val="12"/>
                <w:szCs w:val="12"/>
              </w:rPr>
            </w:pPr>
            <w:r w:rsidRPr="00C31ED6">
              <w:rPr>
                <w:rFonts w:cs="Arial"/>
                <w:color w:val="808080" w:themeColor="background1" w:themeShade="80"/>
                <w:sz w:val="12"/>
                <w:szCs w:val="12"/>
              </w:rPr>
              <w:t>50</w:t>
            </w:r>
            <w:r>
              <w:rPr>
                <w:rFonts w:cs="Arial"/>
                <w:color w:val="808080" w:themeColor="background1" w:themeShade="80"/>
                <w:sz w:val="12"/>
                <w:szCs w:val="12"/>
              </w:rPr>
              <w:t>8</w:t>
            </w:r>
            <w:r w:rsidRPr="00C31ED6">
              <w:rPr>
                <w:rFonts w:cs="Arial"/>
                <w:color w:val="808080" w:themeColor="background1" w:themeShade="80"/>
                <w:sz w:val="12"/>
                <w:szCs w:val="12"/>
              </w:rPr>
              <w:t>.01.fr</w:t>
            </w:r>
          </w:p>
        </w:tc>
        <w:tc>
          <w:tcPr>
            <w:tcW w:w="3711" w:type="dxa"/>
            <w:tcBorders>
              <w:top w:val="nil"/>
              <w:bottom w:val="nil"/>
              <w:right w:val="nil"/>
            </w:tcBorders>
          </w:tcPr>
          <w:p w14:paraId="0632BD99" w14:textId="77777777" w:rsidR="002D70F1" w:rsidRPr="00C31ED6" w:rsidRDefault="002D70F1" w:rsidP="00075710">
            <w:pPr>
              <w:rPr>
                <w:rFonts w:cs="Arial"/>
                <w:color w:val="808080" w:themeColor="background1" w:themeShade="80"/>
                <w:sz w:val="12"/>
                <w:szCs w:val="12"/>
              </w:rPr>
            </w:pPr>
          </w:p>
        </w:tc>
        <w:tc>
          <w:tcPr>
            <w:tcW w:w="1898" w:type="dxa"/>
            <w:tcBorders>
              <w:top w:val="nil"/>
              <w:left w:val="nil"/>
              <w:bottom w:val="nil"/>
              <w:right w:val="nil"/>
            </w:tcBorders>
          </w:tcPr>
          <w:p w14:paraId="63A05106" w14:textId="77777777" w:rsidR="002D70F1" w:rsidRPr="00C31ED6" w:rsidRDefault="002D70F1" w:rsidP="00075710">
            <w:pPr>
              <w:rPr>
                <w:rFonts w:cs="Arial"/>
                <w:color w:val="808080" w:themeColor="background1" w:themeShade="80"/>
                <w:sz w:val="12"/>
                <w:szCs w:val="12"/>
              </w:rPr>
            </w:pPr>
          </w:p>
        </w:tc>
        <w:tc>
          <w:tcPr>
            <w:tcW w:w="1898" w:type="dxa"/>
            <w:tcBorders>
              <w:top w:val="nil"/>
              <w:left w:val="nil"/>
              <w:bottom w:val="nil"/>
              <w:right w:val="nil"/>
            </w:tcBorders>
          </w:tcPr>
          <w:p w14:paraId="18514719" w14:textId="77777777" w:rsidR="002D70F1" w:rsidRPr="00C31ED6" w:rsidRDefault="002D70F1" w:rsidP="00075710">
            <w:pPr>
              <w:rPr>
                <w:rFonts w:cs="Arial"/>
                <w:color w:val="808080" w:themeColor="background1" w:themeShade="80"/>
                <w:sz w:val="12"/>
                <w:szCs w:val="12"/>
              </w:rPr>
            </w:pPr>
          </w:p>
        </w:tc>
      </w:tr>
      <w:tr w:rsidR="002D70F1" w:rsidRPr="00C31ED6" w14:paraId="3A34BA48" w14:textId="77777777" w:rsidTr="00075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4088BF" w14:textId="77777777" w:rsidR="002D70F1" w:rsidRPr="00C31ED6" w:rsidRDefault="002D70F1" w:rsidP="00075710">
            <w:pPr>
              <w:rPr>
                <w:rFonts w:cs="Arial"/>
                <w:color w:val="808080" w:themeColor="background1" w:themeShade="80"/>
                <w:sz w:val="12"/>
                <w:szCs w:val="12"/>
              </w:rPr>
            </w:pPr>
            <w:r w:rsidRPr="00C31ED6">
              <w:rPr>
                <w:rFonts w:cs="Arial"/>
                <w:color w:val="808080" w:themeColor="background1" w:themeShade="80"/>
                <w:sz w:val="12"/>
                <w:szCs w:val="12"/>
              </w:rPr>
              <w:t>Date :</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CB0B44" w14:textId="77777777" w:rsidR="002D70F1" w:rsidRPr="00C31ED6" w:rsidRDefault="002D70F1" w:rsidP="00075710">
            <w:pPr>
              <w:rPr>
                <w:rFonts w:cs="Arial"/>
                <w:color w:val="808080" w:themeColor="background1" w:themeShade="80"/>
                <w:sz w:val="12"/>
                <w:szCs w:val="12"/>
              </w:rPr>
            </w:pPr>
            <w:r w:rsidRPr="00C31ED6">
              <w:rPr>
                <w:rFonts w:cs="Arial"/>
                <w:color w:val="808080" w:themeColor="background1" w:themeShade="80"/>
                <w:sz w:val="12"/>
                <w:szCs w:val="12"/>
              </w:rPr>
              <w:t>09.03.2022</w:t>
            </w:r>
          </w:p>
        </w:tc>
        <w:tc>
          <w:tcPr>
            <w:tcW w:w="3711" w:type="dxa"/>
            <w:tcBorders>
              <w:top w:val="nil"/>
              <w:left w:val="single" w:sz="4" w:space="0" w:color="808080" w:themeColor="background1" w:themeShade="80"/>
              <w:bottom w:val="nil"/>
              <w:right w:val="nil"/>
            </w:tcBorders>
          </w:tcPr>
          <w:p w14:paraId="417BE2BB" w14:textId="77777777" w:rsidR="002D70F1" w:rsidRPr="00C31ED6" w:rsidRDefault="002D70F1" w:rsidP="00075710">
            <w:pPr>
              <w:rPr>
                <w:rFonts w:cs="Arial"/>
                <w:color w:val="808080" w:themeColor="background1" w:themeShade="80"/>
                <w:sz w:val="12"/>
                <w:szCs w:val="12"/>
              </w:rPr>
            </w:pPr>
          </w:p>
        </w:tc>
        <w:tc>
          <w:tcPr>
            <w:tcW w:w="1898" w:type="dxa"/>
            <w:tcBorders>
              <w:top w:val="nil"/>
              <w:left w:val="nil"/>
              <w:bottom w:val="nil"/>
              <w:right w:val="nil"/>
            </w:tcBorders>
          </w:tcPr>
          <w:p w14:paraId="48B5EE29" w14:textId="77777777" w:rsidR="002D70F1" w:rsidRPr="00C31ED6" w:rsidRDefault="002D70F1" w:rsidP="00075710">
            <w:pPr>
              <w:rPr>
                <w:rFonts w:cs="Arial"/>
                <w:color w:val="808080" w:themeColor="background1" w:themeShade="80"/>
                <w:sz w:val="12"/>
                <w:szCs w:val="12"/>
              </w:rPr>
            </w:pPr>
          </w:p>
        </w:tc>
        <w:tc>
          <w:tcPr>
            <w:tcW w:w="1898" w:type="dxa"/>
            <w:tcBorders>
              <w:top w:val="nil"/>
              <w:left w:val="nil"/>
              <w:bottom w:val="nil"/>
              <w:right w:val="nil"/>
            </w:tcBorders>
          </w:tcPr>
          <w:p w14:paraId="067E66A7" w14:textId="77777777" w:rsidR="002D70F1" w:rsidRPr="00C31ED6" w:rsidRDefault="002D70F1" w:rsidP="00075710">
            <w:pPr>
              <w:rPr>
                <w:rFonts w:cs="Arial"/>
                <w:color w:val="808080" w:themeColor="background1" w:themeShade="80"/>
                <w:sz w:val="12"/>
                <w:szCs w:val="12"/>
              </w:rPr>
            </w:pPr>
          </w:p>
        </w:tc>
      </w:tr>
    </w:tbl>
    <w:p w14:paraId="13DB3D0B" w14:textId="77777777" w:rsidR="002D70F1" w:rsidRPr="00C31ED6" w:rsidRDefault="002D70F1" w:rsidP="002D70F1">
      <w:pPr>
        <w:ind w:right="-1"/>
        <w:jc w:val="both"/>
        <w:rPr>
          <w:rFonts w:cs="Arial"/>
          <w:szCs w:val="22"/>
        </w:rPr>
      </w:pPr>
    </w:p>
    <w:p w14:paraId="50BD939E" w14:textId="5CC17D27" w:rsidR="00136D8C" w:rsidRPr="00E21CF3" w:rsidRDefault="00136D8C" w:rsidP="002A094A">
      <w:pPr>
        <w:ind w:right="-1"/>
        <w:jc w:val="both"/>
        <w:rPr>
          <w:rFonts w:cs="Arial"/>
          <w:szCs w:val="22"/>
          <w:lang w:val="de-DE"/>
        </w:rPr>
      </w:pPr>
    </w:p>
    <w:sectPr w:rsidR="00136D8C" w:rsidRPr="00E21CF3" w:rsidSect="0056080A">
      <w:footerReference w:type="default" r:id="rId8"/>
      <w:headerReference w:type="first" r:id="rId9"/>
      <w:footerReference w:type="first" r:id="rId10"/>
      <w:type w:val="oddPage"/>
      <w:pgSz w:w="11907" w:h="16840" w:code="9"/>
      <w:pgMar w:top="1418" w:right="1247" w:bottom="964" w:left="1418" w:header="72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B99F9" w14:textId="77777777" w:rsidR="00F52B53" w:rsidRDefault="00F52B53">
      <w:r>
        <w:separator/>
      </w:r>
    </w:p>
  </w:endnote>
  <w:endnote w:type="continuationSeparator" w:id="0">
    <w:p w14:paraId="49412A71" w14:textId="77777777" w:rsidR="00F52B53" w:rsidRDefault="00F5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312E" w14:textId="5A27D7B1" w:rsidR="00F52B53" w:rsidRPr="00C6290E" w:rsidRDefault="00C6290E" w:rsidP="00C6290E">
    <w:pPr>
      <w:pStyle w:val="Fuzeile"/>
      <w:jc w:val="center"/>
      <w:rPr>
        <w:sz w:val="16"/>
        <w:szCs w:val="16"/>
      </w:rPr>
    </w:pPr>
    <w:sdt>
      <w:sdtPr>
        <w:rPr>
          <w:sz w:val="16"/>
          <w:szCs w:val="16"/>
          <w:lang w:val="de-DE"/>
        </w:rPr>
        <w:id w:val="-1807701389"/>
        <w:docPartObj>
          <w:docPartGallery w:val="Page Numbers (Top of Page)"/>
          <w:docPartUnique/>
        </w:docPartObj>
      </w:sdtPr>
      <w:sdtContent>
        <w:r w:rsidRPr="0013313E">
          <w:rPr>
            <w:sz w:val="16"/>
            <w:szCs w:val="16"/>
            <w:lang w:val="de-DE"/>
          </w:rPr>
          <w:fldChar w:fldCharType="begin"/>
        </w:r>
        <w:r w:rsidRPr="0013313E">
          <w:rPr>
            <w:sz w:val="16"/>
            <w:szCs w:val="16"/>
            <w:lang w:val="de-DE"/>
          </w:rPr>
          <w:instrText xml:space="preserve"> PAGE </w:instrText>
        </w:r>
        <w:r w:rsidRPr="0013313E">
          <w:rPr>
            <w:sz w:val="16"/>
            <w:szCs w:val="16"/>
            <w:lang w:val="de-DE"/>
          </w:rPr>
          <w:fldChar w:fldCharType="separate"/>
        </w:r>
        <w:r>
          <w:rPr>
            <w:sz w:val="16"/>
            <w:szCs w:val="16"/>
            <w:lang w:val="de-DE"/>
          </w:rPr>
          <w:t>2</w:t>
        </w:r>
        <w:r w:rsidRPr="0013313E">
          <w:rPr>
            <w:sz w:val="16"/>
            <w:szCs w:val="16"/>
            <w:lang w:val="de-DE"/>
          </w:rPr>
          <w:fldChar w:fldCharType="end"/>
        </w:r>
        <w:r>
          <w:rPr>
            <w:sz w:val="16"/>
            <w:szCs w:val="16"/>
            <w:lang w:val="de-DE"/>
          </w:rPr>
          <w:t xml:space="preserve"> / </w:t>
        </w:r>
        <w:r w:rsidRPr="0013313E">
          <w:rPr>
            <w:sz w:val="16"/>
            <w:szCs w:val="16"/>
            <w:lang w:val="de-DE"/>
          </w:rPr>
          <w:fldChar w:fldCharType="begin"/>
        </w:r>
        <w:r w:rsidRPr="0013313E">
          <w:rPr>
            <w:sz w:val="16"/>
            <w:szCs w:val="16"/>
            <w:lang w:val="de-DE"/>
          </w:rPr>
          <w:instrText xml:space="preserve"> NUMPAGES  </w:instrText>
        </w:r>
        <w:r w:rsidRPr="0013313E">
          <w:rPr>
            <w:sz w:val="16"/>
            <w:szCs w:val="16"/>
            <w:lang w:val="de-DE"/>
          </w:rPr>
          <w:fldChar w:fldCharType="separate"/>
        </w:r>
        <w:r>
          <w:rPr>
            <w:sz w:val="16"/>
            <w:szCs w:val="16"/>
            <w:lang w:val="de-DE"/>
          </w:rPr>
          <w:t>3</w:t>
        </w:r>
        <w:r w:rsidRPr="0013313E">
          <w:rPr>
            <w:sz w:val="16"/>
            <w:szCs w:val="16"/>
            <w:lang w:val="de-DE"/>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3BB1" w14:textId="50591024" w:rsidR="00C6290E" w:rsidRPr="00C6290E" w:rsidRDefault="00C6290E" w:rsidP="00C6290E">
    <w:pPr>
      <w:pStyle w:val="Fuzeile"/>
      <w:jc w:val="center"/>
      <w:rPr>
        <w:sz w:val="16"/>
        <w:szCs w:val="16"/>
      </w:rPr>
    </w:pPr>
    <w:sdt>
      <w:sdtPr>
        <w:rPr>
          <w:sz w:val="16"/>
          <w:szCs w:val="16"/>
          <w:lang w:val="de-DE"/>
        </w:rPr>
        <w:id w:val="201522630"/>
        <w:docPartObj>
          <w:docPartGallery w:val="Page Numbers (Top of Page)"/>
          <w:docPartUnique/>
        </w:docPartObj>
      </w:sdtPr>
      <w:sdtContent>
        <w:r w:rsidRPr="0013313E">
          <w:rPr>
            <w:sz w:val="16"/>
            <w:szCs w:val="16"/>
            <w:lang w:val="de-DE"/>
          </w:rPr>
          <w:fldChar w:fldCharType="begin"/>
        </w:r>
        <w:r w:rsidRPr="0013313E">
          <w:rPr>
            <w:sz w:val="16"/>
            <w:szCs w:val="16"/>
            <w:lang w:val="de-DE"/>
          </w:rPr>
          <w:instrText xml:space="preserve"> PAGE </w:instrText>
        </w:r>
        <w:r w:rsidRPr="0013313E">
          <w:rPr>
            <w:sz w:val="16"/>
            <w:szCs w:val="16"/>
            <w:lang w:val="de-DE"/>
          </w:rPr>
          <w:fldChar w:fldCharType="separate"/>
        </w:r>
        <w:r>
          <w:rPr>
            <w:sz w:val="16"/>
            <w:szCs w:val="16"/>
            <w:lang w:val="de-DE"/>
          </w:rPr>
          <w:t>2</w:t>
        </w:r>
        <w:r w:rsidRPr="0013313E">
          <w:rPr>
            <w:sz w:val="16"/>
            <w:szCs w:val="16"/>
            <w:lang w:val="de-DE"/>
          </w:rPr>
          <w:fldChar w:fldCharType="end"/>
        </w:r>
        <w:r>
          <w:rPr>
            <w:sz w:val="16"/>
            <w:szCs w:val="16"/>
            <w:lang w:val="de-DE"/>
          </w:rPr>
          <w:t xml:space="preserve"> / </w:t>
        </w:r>
        <w:r w:rsidRPr="0013313E">
          <w:rPr>
            <w:sz w:val="16"/>
            <w:szCs w:val="16"/>
            <w:lang w:val="de-DE"/>
          </w:rPr>
          <w:fldChar w:fldCharType="begin"/>
        </w:r>
        <w:r w:rsidRPr="0013313E">
          <w:rPr>
            <w:sz w:val="16"/>
            <w:szCs w:val="16"/>
            <w:lang w:val="de-DE"/>
          </w:rPr>
          <w:instrText xml:space="preserve"> NUMPAGES  </w:instrText>
        </w:r>
        <w:r w:rsidRPr="0013313E">
          <w:rPr>
            <w:sz w:val="16"/>
            <w:szCs w:val="16"/>
            <w:lang w:val="de-DE"/>
          </w:rPr>
          <w:fldChar w:fldCharType="separate"/>
        </w:r>
        <w:r>
          <w:rPr>
            <w:sz w:val="16"/>
            <w:szCs w:val="16"/>
            <w:lang w:val="de-DE"/>
          </w:rPr>
          <w:t>3</w:t>
        </w:r>
        <w:r w:rsidRPr="0013313E">
          <w:rPr>
            <w:sz w:val="16"/>
            <w:szCs w:val="16"/>
            <w:lang w:val="de-DE"/>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030F0" w14:textId="77777777" w:rsidR="00F52B53" w:rsidRDefault="00F52B53">
      <w:r>
        <w:separator/>
      </w:r>
    </w:p>
  </w:footnote>
  <w:footnote w:type="continuationSeparator" w:id="0">
    <w:p w14:paraId="75A121F4" w14:textId="77777777" w:rsidR="00F52B53" w:rsidRDefault="00F52B53">
      <w:r>
        <w:continuationSeparator/>
      </w:r>
    </w:p>
  </w:footnote>
  <w:footnote w:id="1">
    <w:p w14:paraId="49B3AB90" w14:textId="04E5429F" w:rsidR="00F52B53" w:rsidRPr="00E21CF3" w:rsidRDefault="00F52B53" w:rsidP="00E21CF3">
      <w:pPr>
        <w:pStyle w:val="Funotentext"/>
        <w:tabs>
          <w:tab w:val="left" w:pos="284"/>
        </w:tabs>
        <w:ind w:left="284" w:hanging="284"/>
        <w:rPr>
          <w:sz w:val="16"/>
          <w:szCs w:val="16"/>
        </w:rPr>
      </w:pPr>
      <w:r w:rsidRPr="00E21CF3">
        <w:rPr>
          <w:rStyle w:val="Funotenzeichen"/>
          <w:sz w:val="16"/>
          <w:szCs w:val="16"/>
        </w:rPr>
        <w:footnoteRef/>
      </w:r>
      <w:r w:rsidRPr="00E21CF3">
        <w:rPr>
          <w:sz w:val="16"/>
          <w:szCs w:val="16"/>
        </w:rPr>
        <w:t xml:space="preserve"> </w:t>
      </w:r>
      <w:r w:rsidR="00E21CF3">
        <w:rPr>
          <w:sz w:val="16"/>
          <w:szCs w:val="16"/>
        </w:rPr>
        <w:tab/>
      </w:r>
      <w:r w:rsidRPr="00E21CF3">
        <w:rPr>
          <w:sz w:val="16"/>
          <w:szCs w:val="16"/>
        </w:rPr>
        <w:t xml:space="preserve">Annexe 2 </w:t>
      </w:r>
      <w:proofErr w:type="gramStart"/>
      <w:r w:rsidRPr="00E21CF3">
        <w:rPr>
          <w:sz w:val="16"/>
          <w:szCs w:val="16"/>
        </w:rPr>
        <w:t>du con</w:t>
      </w:r>
      <w:r w:rsidR="00E21CF3">
        <w:rPr>
          <w:sz w:val="16"/>
          <w:szCs w:val="16"/>
        </w:rPr>
        <w:t>vention</w:t>
      </w:r>
      <w:proofErr w:type="gramEnd"/>
      <w:r w:rsidRPr="00E21CF3">
        <w:rPr>
          <w:sz w:val="16"/>
          <w:szCs w:val="16"/>
        </w:rPr>
        <w:t xml:space="preserve"> de prestations</w:t>
      </w:r>
    </w:p>
  </w:footnote>
  <w:footnote w:id="2">
    <w:p w14:paraId="4054843F" w14:textId="4C4A45E6" w:rsidR="00F52B53" w:rsidRPr="0056080A" w:rsidRDefault="00F52B53" w:rsidP="00E21CF3">
      <w:pPr>
        <w:pStyle w:val="Funotentext"/>
        <w:tabs>
          <w:tab w:val="left" w:pos="284"/>
        </w:tabs>
        <w:ind w:left="284" w:hanging="284"/>
      </w:pPr>
      <w:r w:rsidRPr="00E21CF3">
        <w:rPr>
          <w:rStyle w:val="Funotenzeichen"/>
          <w:sz w:val="16"/>
          <w:szCs w:val="16"/>
        </w:rPr>
        <w:footnoteRef/>
      </w:r>
      <w:r w:rsidRPr="00E21CF3">
        <w:rPr>
          <w:sz w:val="16"/>
          <w:szCs w:val="16"/>
        </w:rPr>
        <w:t xml:space="preserve"> </w:t>
      </w:r>
      <w:r w:rsidR="00E21CF3">
        <w:rPr>
          <w:sz w:val="16"/>
          <w:szCs w:val="16"/>
        </w:rPr>
        <w:tab/>
      </w:r>
      <w:r w:rsidRPr="00E21CF3">
        <w:rPr>
          <w:sz w:val="16"/>
          <w:szCs w:val="16"/>
        </w:rPr>
        <w:t>Dans des foyers scolaires spécialisés, l’Office cantonal des mineurs finance les frais liés aux bâtiments utilisés par l’école et par le foyer. Le forfait de l’OECO dédié aux enfants vivant dans le foyer est réduit en conséquence.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04E8C" w14:textId="1F10A593" w:rsidR="00F52B53" w:rsidRDefault="00F52B53">
    <w:pPr>
      <w:pStyle w:val="Kopfzeile"/>
    </w:pPr>
    <w:r>
      <w:rPr>
        <w:b/>
        <w:sz w:val="24"/>
        <w:highlight w:val="yellow"/>
      </w:rPr>
      <w:t>LOGO de l’institution 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A055B"/>
    <w:multiLevelType w:val="hybridMultilevel"/>
    <w:tmpl w:val="42F64324"/>
    <w:lvl w:ilvl="0" w:tplc="345C3E54">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162DD1"/>
    <w:multiLevelType w:val="hybridMultilevel"/>
    <w:tmpl w:val="D974D5EE"/>
    <w:lvl w:ilvl="0" w:tplc="E3747AC6">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90973"/>
    <w:multiLevelType w:val="singleLevel"/>
    <w:tmpl w:val="8F16ACEE"/>
    <w:lvl w:ilvl="0">
      <w:start w:val="1"/>
      <w:numFmt w:val="bullet"/>
      <w:lvlText w:val=""/>
      <w:lvlJc w:val="left"/>
      <w:pPr>
        <w:tabs>
          <w:tab w:val="num" w:pos="397"/>
        </w:tabs>
        <w:ind w:left="397" w:hanging="397"/>
      </w:pPr>
      <w:rPr>
        <w:rFonts w:ascii="Symbol" w:hAnsi="Symbol" w:hint="default"/>
      </w:rPr>
    </w:lvl>
  </w:abstractNum>
  <w:abstractNum w:abstractNumId="4" w15:restartNumberingAfterBreak="0">
    <w:nsid w:val="0899193C"/>
    <w:multiLevelType w:val="hybridMultilevel"/>
    <w:tmpl w:val="B6C4FBB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CEC6F87"/>
    <w:multiLevelType w:val="singleLevel"/>
    <w:tmpl w:val="8F16ACEE"/>
    <w:lvl w:ilvl="0">
      <w:start w:val="1"/>
      <w:numFmt w:val="bullet"/>
      <w:lvlText w:val=""/>
      <w:lvlJc w:val="left"/>
      <w:pPr>
        <w:tabs>
          <w:tab w:val="num" w:pos="397"/>
        </w:tabs>
        <w:ind w:left="397" w:hanging="397"/>
      </w:pPr>
      <w:rPr>
        <w:rFonts w:ascii="Symbol" w:hAnsi="Symbol" w:hint="default"/>
      </w:rPr>
    </w:lvl>
  </w:abstractNum>
  <w:abstractNum w:abstractNumId="6" w15:restartNumberingAfterBreak="0">
    <w:nsid w:val="10CD40D6"/>
    <w:multiLevelType w:val="hybridMultilevel"/>
    <w:tmpl w:val="4724C75C"/>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15:restartNumberingAfterBreak="0">
    <w:nsid w:val="13863FAB"/>
    <w:multiLevelType w:val="hybridMultilevel"/>
    <w:tmpl w:val="8410EB78"/>
    <w:lvl w:ilvl="0" w:tplc="0FAEDFFA">
      <w:start w:val="1"/>
      <w:numFmt w:val="bullet"/>
      <w:lvlText w:val=""/>
      <w:lvlJc w:val="left"/>
      <w:pPr>
        <w:tabs>
          <w:tab w:val="num" w:pos="1287"/>
        </w:tabs>
        <w:ind w:left="1287" w:hanging="927"/>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4AF322E"/>
    <w:multiLevelType w:val="hybridMultilevel"/>
    <w:tmpl w:val="B1162430"/>
    <w:lvl w:ilvl="0" w:tplc="345C3E54">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413761"/>
    <w:multiLevelType w:val="hybridMultilevel"/>
    <w:tmpl w:val="7166EF24"/>
    <w:lvl w:ilvl="0" w:tplc="345C3E54">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267669"/>
    <w:multiLevelType w:val="hybridMultilevel"/>
    <w:tmpl w:val="B85423B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7A00C8"/>
    <w:multiLevelType w:val="hybridMultilevel"/>
    <w:tmpl w:val="333032CE"/>
    <w:lvl w:ilvl="0" w:tplc="E3747AC6">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A24537"/>
    <w:multiLevelType w:val="hybridMultilevel"/>
    <w:tmpl w:val="12FCC3A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24E06E41"/>
    <w:multiLevelType w:val="singleLevel"/>
    <w:tmpl w:val="FFFFFFFF"/>
    <w:lvl w:ilvl="0">
      <w:start w:val="1"/>
      <w:numFmt w:val="bullet"/>
      <w:lvlText w:val=""/>
      <w:legacy w:legacy="1" w:legacySpace="0" w:legacyIndent="283"/>
      <w:lvlJc w:val="left"/>
      <w:pPr>
        <w:ind w:left="284" w:hanging="283"/>
      </w:pPr>
      <w:rPr>
        <w:rFonts w:ascii="Symbol" w:hAnsi="Symbol" w:hint="default"/>
      </w:rPr>
    </w:lvl>
  </w:abstractNum>
  <w:abstractNum w:abstractNumId="14" w15:restartNumberingAfterBreak="0">
    <w:nsid w:val="250B51F7"/>
    <w:multiLevelType w:val="hybridMultilevel"/>
    <w:tmpl w:val="7192529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F25418"/>
    <w:multiLevelType w:val="hybridMultilevel"/>
    <w:tmpl w:val="AB4AB6AC"/>
    <w:lvl w:ilvl="0" w:tplc="E3747AC6">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2518EE"/>
    <w:multiLevelType w:val="hybridMultilevel"/>
    <w:tmpl w:val="4A10D22C"/>
    <w:lvl w:ilvl="0" w:tplc="E3747AC6">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1349E8"/>
    <w:multiLevelType w:val="hybridMultilevel"/>
    <w:tmpl w:val="20220C12"/>
    <w:lvl w:ilvl="0" w:tplc="E3747AC6">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693E7D"/>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9" w15:restartNumberingAfterBreak="0">
    <w:nsid w:val="2E2F6A73"/>
    <w:multiLevelType w:val="hybridMultilevel"/>
    <w:tmpl w:val="985C6916"/>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0" w15:restartNumberingAfterBreak="0">
    <w:nsid w:val="320E06D3"/>
    <w:multiLevelType w:val="hybridMultilevel"/>
    <w:tmpl w:val="0CAC9D0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633AD8"/>
    <w:multiLevelType w:val="hybridMultilevel"/>
    <w:tmpl w:val="8410C97A"/>
    <w:lvl w:ilvl="0" w:tplc="E3747AC6">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D05ED6"/>
    <w:multiLevelType w:val="multilevel"/>
    <w:tmpl w:val="ECEA73DE"/>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3B48E2"/>
    <w:multiLevelType w:val="hybridMultilevel"/>
    <w:tmpl w:val="B498C3A8"/>
    <w:lvl w:ilvl="0" w:tplc="E3747AC6">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FE72AD"/>
    <w:multiLevelType w:val="hybridMultilevel"/>
    <w:tmpl w:val="4520483A"/>
    <w:lvl w:ilvl="0" w:tplc="345C3E54">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CA33E1"/>
    <w:multiLevelType w:val="hybridMultilevel"/>
    <w:tmpl w:val="039E229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EE5FD0"/>
    <w:multiLevelType w:val="hybridMultilevel"/>
    <w:tmpl w:val="DD906B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03751E"/>
    <w:multiLevelType w:val="singleLevel"/>
    <w:tmpl w:val="8F16ACEE"/>
    <w:lvl w:ilvl="0">
      <w:start w:val="1"/>
      <w:numFmt w:val="bullet"/>
      <w:lvlText w:val=""/>
      <w:lvlJc w:val="left"/>
      <w:pPr>
        <w:tabs>
          <w:tab w:val="num" w:pos="397"/>
        </w:tabs>
        <w:ind w:left="397" w:hanging="397"/>
      </w:pPr>
      <w:rPr>
        <w:rFonts w:ascii="Symbol" w:hAnsi="Symbol" w:hint="default"/>
      </w:rPr>
    </w:lvl>
  </w:abstractNum>
  <w:abstractNum w:abstractNumId="28" w15:restartNumberingAfterBreak="0">
    <w:nsid w:val="412D2846"/>
    <w:multiLevelType w:val="hybridMultilevel"/>
    <w:tmpl w:val="9C804408"/>
    <w:lvl w:ilvl="0" w:tplc="E3747AC6">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626E2D"/>
    <w:multiLevelType w:val="hybridMultilevel"/>
    <w:tmpl w:val="099E31DC"/>
    <w:lvl w:ilvl="0" w:tplc="E3747AC6">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E0313F"/>
    <w:multiLevelType w:val="hybridMultilevel"/>
    <w:tmpl w:val="E940F6DE"/>
    <w:lvl w:ilvl="0" w:tplc="E3747AC6">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895DED"/>
    <w:multiLevelType w:val="singleLevel"/>
    <w:tmpl w:val="8F16ACEE"/>
    <w:lvl w:ilvl="0">
      <w:start w:val="1"/>
      <w:numFmt w:val="bullet"/>
      <w:lvlText w:val=""/>
      <w:lvlJc w:val="left"/>
      <w:pPr>
        <w:tabs>
          <w:tab w:val="num" w:pos="397"/>
        </w:tabs>
        <w:ind w:left="397" w:hanging="397"/>
      </w:pPr>
      <w:rPr>
        <w:rFonts w:ascii="Symbol" w:hAnsi="Symbol" w:hint="default"/>
      </w:rPr>
    </w:lvl>
  </w:abstractNum>
  <w:abstractNum w:abstractNumId="32" w15:restartNumberingAfterBreak="0">
    <w:nsid w:val="49922782"/>
    <w:multiLevelType w:val="hybridMultilevel"/>
    <w:tmpl w:val="4724C75C"/>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3" w15:restartNumberingAfterBreak="0">
    <w:nsid w:val="4DF73366"/>
    <w:multiLevelType w:val="hybridMultilevel"/>
    <w:tmpl w:val="B70CBA00"/>
    <w:lvl w:ilvl="0" w:tplc="345C3E54">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280C23"/>
    <w:multiLevelType w:val="hybridMultilevel"/>
    <w:tmpl w:val="4724C75C"/>
    <w:lvl w:ilvl="0" w:tplc="08070017">
      <w:start w:val="1"/>
      <w:numFmt w:val="lowerLetter"/>
      <w:lvlText w:val="%1)"/>
      <w:lvlJc w:val="left"/>
      <w:pPr>
        <w:ind w:left="1069" w:hanging="360"/>
      </w:pPr>
      <w:rPr>
        <w:rFonts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35" w15:restartNumberingAfterBreak="0">
    <w:nsid w:val="52B94DD4"/>
    <w:multiLevelType w:val="hybridMultilevel"/>
    <w:tmpl w:val="FE384CEC"/>
    <w:lvl w:ilvl="0" w:tplc="59800826">
      <w:start w:val="1"/>
      <w:numFmt w:val="lowerLetter"/>
      <w:lvlText w:val="%1)"/>
      <w:lvlJc w:val="left"/>
      <w:pPr>
        <w:ind w:left="930" w:hanging="360"/>
      </w:pPr>
      <w:rPr>
        <w:rFonts w:hint="default"/>
      </w:rPr>
    </w:lvl>
    <w:lvl w:ilvl="1" w:tplc="08070019" w:tentative="1">
      <w:start w:val="1"/>
      <w:numFmt w:val="lowerLetter"/>
      <w:lvlText w:val="%2."/>
      <w:lvlJc w:val="left"/>
      <w:pPr>
        <w:ind w:left="1650" w:hanging="360"/>
      </w:pPr>
    </w:lvl>
    <w:lvl w:ilvl="2" w:tplc="0807001B" w:tentative="1">
      <w:start w:val="1"/>
      <w:numFmt w:val="lowerRoman"/>
      <w:lvlText w:val="%3."/>
      <w:lvlJc w:val="right"/>
      <w:pPr>
        <w:ind w:left="2370" w:hanging="180"/>
      </w:pPr>
    </w:lvl>
    <w:lvl w:ilvl="3" w:tplc="0807000F" w:tentative="1">
      <w:start w:val="1"/>
      <w:numFmt w:val="decimal"/>
      <w:lvlText w:val="%4."/>
      <w:lvlJc w:val="left"/>
      <w:pPr>
        <w:ind w:left="3090" w:hanging="360"/>
      </w:pPr>
    </w:lvl>
    <w:lvl w:ilvl="4" w:tplc="08070019" w:tentative="1">
      <w:start w:val="1"/>
      <w:numFmt w:val="lowerLetter"/>
      <w:lvlText w:val="%5."/>
      <w:lvlJc w:val="left"/>
      <w:pPr>
        <w:ind w:left="3810" w:hanging="360"/>
      </w:pPr>
    </w:lvl>
    <w:lvl w:ilvl="5" w:tplc="0807001B" w:tentative="1">
      <w:start w:val="1"/>
      <w:numFmt w:val="lowerRoman"/>
      <w:lvlText w:val="%6."/>
      <w:lvlJc w:val="right"/>
      <w:pPr>
        <w:ind w:left="4530" w:hanging="180"/>
      </w:pPr>
    </w:lvl>
    <w:lvl w:ilvl="6" w:tplc="0807000F" w:tentative="1">
      <w:start w:val="1"/>
      <w:numFmt w:val="decimal"/>
      <w:lvlText w:val="%7."/>
      <w:lvlJc w:val="left"/>
      <w:pPr>
        <w:ind w:left="5250" w:hanging="360"/>
      </w:pPr>
    </w:lvl>
    <w:lvl w:ilvl="7" w:tplc="08070019" w:tentative="1">
      <w:start w:val="1"/>
      <w:numFmt w:val="lowerLetter"/>
      <w:lvlText w:val="%8."/>
      <w:lvlJc w:val="left"/>
      <w:pPr>
        <w:ind w:left="5970" w:hanging="360"/>
      </w:pPr>
    </w:lvl>
    <w:lvl w:ilvl="8" w:tplc="0807001B" w:tentative="1">
      <w:start w:val="1"/>
      <w:numFmt w:val="lowerRoman"/>
      <w:lvlText w:val="%9."/>
      <w:lvlJc w:val="right"/>
      <w:pPr>
        <w:ind w:left="6690" w:hanging="180"/>
      </w:pPr>
    </w:lvl>
  </w:abstractNum>
  <w:abstractNum w:abstractNumId="36" w15:restartNumberingAfterBreak="0">
    <w:nsid w:val="537F000D"/>
    <w:multiLevelType w:val="hybridMultilevel"/>
    <w:tmpl w:val="E9A89830"/>
    <w:lvl w:ilvl="0" w:tplc="D93EA71A">
      <w:start w:val="1"/>
      <w:numFmt w:val="lowerLetter"/>
      <w:lvlText w:val="%1)"/>
      <w:lvlJc w:val="left"/>
      <w:pPr>
        <w:ind w:left="360" w:hanging="360"/>
      </w:pPr>
      <w:rPr>
        <w:rFonts w:ascii="Arial" w:eastAsia="Times New Roman" w:hAnsi="Arial" w:cs="Arial"/>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7" w15:restartNumberingAfterBreak="0">
    <w:nsid w:val="53C86C8E"/>
    <w:multiLevelType w:val="multilevel"/>
    <w:tmpl w:val="C1BAAC0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6DD1977"/>
    <w:multiLevelType w:val="hybridMultilevel"/>
    <w:tmpl w:val="08889D5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58771F52"/>
    <w:multiLevelType w:val="hybridMultilevel"/>
    <w:tmpl w:val="8D22C73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0" w15:restartNumberingAfterBreak="0">
    <w:nsid w:val="59D218A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F3701A7"/>
    <w:multiLevelType w:val="hybridMultilevel"/>
    <w:tmpl w:val="43384662"/>
    <w:lvl w:ilvl="0" w:tplc="04070009">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062514D"/>
    <w:multiLevelType w:val="hybridMultilevel"/>
    <w:tmpl w:val="D5FCA9D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3" w15:restartNumberingAfterBreak="0">
    <w:nsid w:val="6DB502B4"/>
    <w:multiLevelType w:val="hybridMultilevel"/>
    <w:tmpl w:val="BDF88B2C"/>
    <w:lvl w:ilvl="0" w:tplc="FFFFFFFF">
      <w:start w:val="1"/>
      <w:numFmt w:val="bullet"/>
      <w:lvlText w:val=""/>
      <w:legacy w:legacy="1" w:legacySpace="0" w:legacyIndent="283"/>
      <w:lvlJc w:val="left"/>
      <w:pPr>
        <w:ind w:left="283"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E83D5D"/>
    <w:multiLevelType w:val="hybridMultilevel"/>
    <w:tmpl w:val="A5CCEEA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A1972A2"/>
    <w:multiLevelType w:val="multilevel"/>
    <w:tmpl w:val="EDA432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B815D8E"/>
    <w:multiLevelType w:val="hybridMultilevel"/>
    <w:tmpl w:val="BC8E350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3"/>
  </w:num>
  <w:num w:numId="3">
    <w:abstractNumId w:val="27"/>
  </w:num>
  <w:num w:numId="4">
    <w:abstractNumId w:val="31"/>
  </w:num>
  <w:num w:numId="5">
    <w:abstractNumId w:val="5"/>
  </w:num>
  <w:num w:numId="6">
    <w:abstractNumId w:val="44"/>
  </w:num>
  <w:num w:numId="7">
    <w:abstractNumId w:val="33"/>
  </w:num>
  <w:num w:numId="8">
    <w:abstractNumId w:val="9"/>
  </w:num>
  <w:num w:numId="9">
    <w:abstractNumId w:val="1"/>
  </w:num>
  <w:num w:numId="10">
    <w:abstractNumId w:val="8"/>
  </w:num>
  <w:num w:numId="11">
    <w:abstractNumId w:val="24"/>
  </w:num>
  <w:num w:numId="12">
    <w:abstractNumId w:val="46"/>
  </w:num>
  <w:num w:numId="13">
    <w:abstractNumId w:val="25"/>
  </w:num>
  <w:num w:numId="14">
    <w:abstractNumId w:val="10"/>
  </w:num>
  <w:num w:numId="15">
    <w:abstractNumId w:val="7"/>
  </w:num>
  <w:num w:numId="16">
    <w:abstractNumId w:val="41"/>
  </w:num>
  <w:num w:numId="17">
    <w:abstractNumId w:val="21"/>
  </w:num>
  <w:num w:numId="18">
    <w:abstractNumId w:val="2"/>
  </w:num>
  <w:num w:numId="19">
    <w:abstractNumId w:val="14"/>
  </w:num>
  <w:num w:numId="20">
    <w:abstractNumId w:val="0"/>
    <w:lvlOverride w:ilvl="0">
      <w:lvl w:ilvl="0">
        <w:start w:val="1"/>
        <w:numFmt w:val="bullet"/>
        <w:lvlText w:val=""/>
        <w:legacy w:legacy="1" w:legacySpace="0" w:legacyIndent="283"/>
        <w:lvlJc w:val="left"/>
        <w:pPr>
          <w:ind w:left="284" w:hanging="283"/>
        </w:pPr>
        <w:rPr>
          <w:rFonts w:ascii="Symbol" w:hAnsi="Symbol" w:hint="default"/>
        </w:rPr>
      </w:lvl>
    </w:lvlOverride>
  </w:num>
  <w:num w:numId="21">
    <w:abstractNumId w:val="18"/>
  </w:num>
  <w:num w:numId="22">
    <w:abstractNumId w:val="13"/>
  </w:num>
  <w:num w:numId="23">
    <w:abstractNumId w:val="43"/>
  </w:num>
  <w:num w:numId="24">
    <w:abstractNumId w:val="29"/>
  </w:num>
  <w:num w:numId="25">
    <w:abstractNumId w:val="11"/>
  </w:num>
  <w:num w:numId="26">
    <w:abstractNumId w:val="16"/>
  </w:num>
  <w:num w:numId="27">
    <w:abstractNumId w:val="28"/>
  </w:num>
  <w:num w:numId="28">
    <w:abstractNumId w:val="17"/>
  </w:num>
  <w:num w:numId="29">
    <w:abstractNumId w:val="30"/>
  </w:num>
  <w:num w:numId="30">
    <w:abstractNumId w:val="15"/>
  </w:num>
  <w:num w:numId="31">
    <w:abstractNumId w:val="23"/>
  </w:num>
  <w:num w:numId="32">
    <w:abstractNumId w:val="12"/>
  </w:num>
  <w:num w:numId="33">
    <w:abstractNumId w:val="26"/>
  </w:num>
  <w:num w:numId="3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5">
    <w:abstractNumId w:val="38"/>
  </w:num>
  <w:num w:numId="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7">
    <w:abstractNumId w:val="42"/>
  </w:num>
  <w:num w:numId="38">
    <w:abstractNumId w:val="20"/>
  </w:num>
  <w:num w:numId="39">
    <w:abstractNumId w:val="4"/>
  </w:num>
  <w:num w:numId="40">
    <w:abstractNumId w:val="39"/>
  </w:num>
  <w:num w:numId="41">
    <w:abstractNumId w:val="19"/>
  </w:num>
  <w:num w:numId="42">
    <w:abstractNumId w:val="36"/>
  </w:num>
  <w:num w:numId="43">
    <w:abstractNumId w:val="22"/>
  </w:num>
  <w:num w:numId="44">
    <w:abstractNumId w:val="6"/>
  </w:num>
  <w:num w:numId="45">
    <w:abstractNumId w:val="32"/>
  </w:num>
  <w:num w:numId="46">
    <w:abstractNumId w:val="34"/>
  </w:num>
  <w:num w:numId="47">
    <w:abstractNumId w:val="35"/>
  </w:num>
  <w:num w:numId="48">
    <w:abstractNumId w:val="45"/>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doNotHyphenateCaps/>
  <w:drawingGridHorizontalSpacing w:val="57"/>
  <w:drawingGridVerticalSpacing w:val="57"/>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0FB"/>
    <w:rsid w:val="00026E0D"/>
    <w:rsid w:val="00030110"/>
    <w:rsid w:val="00034830"/>
    <w:rsid w:val="00040E13"/>
    <w:rsid w:val="00063EE9"/>
    <w:rsid w:val="000930CC"/>
    <w:rsid w:val="000A19D1"/>
    <w:rsid w:val="000E7317"/>
    <w:rsid w:val="000F4D12"/>
    <w:rsid w:val="00100E58"/>
    <w:rsid w:val="0010198A"/>
    <w:rsid w:val="00102B22"/>
    <w:rsid w:val="001036AD"/>
    <w:rsid w:val="00136D8C"/>
    <w:rsid w:val="0014033B"/>
    <w:rsid w:val="0014163E"/>
    <w:rsid w:val="00196946"/>
    <w:rsid w:val="001B7776"/>
    <w:rsid w:val="00226F89"/>
    <w:rsid w:val="00231CB7"/>
    <w:rsid w:val="002417E7"/>
    <w:rsid w:val="00252133"/>
    <w:rsid w:val="00257747"/>
    <w:rsid w:val="00264828"/>
    <w:rsid w:val="00265049"/>
    <w:rsid w:val="00274D90"/>
    <w:rsid w:val="00275C12"/>
    <w:rsid w:val="00291157"/>
    <w:rsid w:val="0029718F"/>
    <w:rsid w:val="002A094A"/>
    <w:rsid w:val="002C219F"/>
    <w:rsid w:val="002D70F1"/>
    <w:rsid w:val="002D72F5"/>
    <w:rsid w:val="002E2C0F"/>
    <w:rsid w:val="002F3092"/>
    <w:rsid w:val="00303ABD"/>
    <w:rsid w:val="0030669C"/>
    <w:rsid w:val="003151A5"/>
    <w:rsid w:val="00321AC6"/>
    <w:rsid w:val="00321C05"/>
    <w:rsid w:val="0032524A"/>
    <w:rsid w:val="00343197"/>
    <w:rsid w:val="0037784E"/>
    <w:rsid w:val="003977F5"/>
    <w:rsid w:val="003F75F4"/>
    <w:rsid w:val="00421D6B"/>
    <w:rsid w:val="00422AB8"/>
    <w:rsid w:val="00436CBC"/>
    <w:rsid w:val="0044726D"/>
    <w:rsid w:val="004923F0"/>
    <w:rsid w:val="004D43EA"/>
    <w:rsid w:val="005035EA"/>
    <w:rsid w:val="00511B3A"/>
    <w:rsid w:val="00522D3D"/>
    <w:rsid w:val="00525D20"/>
    <w:rsid w:val="00534A85"/>
    <w:rsid w:val="00540DA1"/>
    <w:rsid w:val="005423ED"/>
    <w:rsid w:val="0054638E"/>
    <w:rsid w:val="0056080A"/>
    <w:rsid w:val="005C61D5"/>
    <w:rsid w:val="005C6DBC"/>
    <w:rsid w:val="005D0F54"/>
    <w:rsid w:val="00605A97"/>
    <w:rsid w:val="00613B74"/>
    <w:rsid w:val="0063309D"/>
    <w:rsid w:val="00636FEA"/>
    <w:rsid w:val="00637727"/>
    <w:rsid w:val="00647C76"/>
    <w:rsid w:val="006A31DA"/>
    <w:rsid w:val="006C4F29"/>
    <w:rsid w:val="006C5C1B"/>
    <w:rsid w:val="006E2329"/>
    <w:rsid w:val="006F2710"/>
    <w:rsid w:val="00740ED9"/>
    <w:rsid w:val="00746124"/>
    <w:rsid w:val="00761828"/>
    <w:rsid w:val="007854DE"/>
    <w:rsid w:val="00791CA5"/>
    <w:rsid w:val="00793B51"/>
    <w:rsid w:val="007A5637"/>
    <w:rsid w:val="007B3C71"/>
    <w:rsid w:val="007E5FDF"/>
    <w:rsid w:val="007F3731"/>
    <w:rsid w:val="00823521"/>
    <w:rsid w:val="008259D9"/>
    <w:rsid w:val="00846207"/>
    <w:rsid w:val="00864E92"/>
    <w:rsid w:val="0088258B"/>
    <w:rsid w:val="00886DA9"/>
    <w:rsid w:val="00891378"/>
    <w:rsid w:val="00892163"/>
    <w:rsid w:val="008C20A0"/>
    <w:rsid w:val="0090222F"/>
    <w:rsid w:val="00930223"/>
    <w:rsid w:val="0099460C"/>
    <w:rsid w:val="009A509A"/>
    <w:rsid w:val="009B10FB"/>
    <w:rsid w:val="009B1A75"/>
    <w:rsid w:val="009C7005"/>
    <w:rsid w:val="009D7CCB"/>
    <w:rsid w:val="00A026C3"/>
    <w:rsid w:val="00A13474"/>
    <w:rsid w:val="00A43519"/>
    <w:rsid w:val="00A60BC3"/>
    <w:rsid w:val="00AA0E6A"/>
    <w:rsid w:val="00AC7D62"/>
    <w:rsid w:val="00AD55EF"/>
    <w:rsid w:val="00B149F1"/>
    <w:rsid w:val="00B225FA"/>
    <w:rsid w:val="00B26F1F"/>
    <w:rsid w:val="00B503BA"/>
    <w:rsid w:val="00B90204"/>
    <w:rsid w:val="00BC7152"/>
    <w:rsid w:val="00BD13E8"/>
    <w:rsid w:val="00BD1692"/>
    <w:rsid w:val="00BE2CAD"/>
    <w:rsid w:val="00BF50F7"/>
    <w:rsid w:val="00C0176A"/>
    <w:rsid w:val="00C20EEC"/>
    <w:rsid w:val="00C31FB2"/>
    <w:rsid w:val="00C6290E"/>
    <w:rsid w:val="00C645AE"/>
    <w:rsid w:val="00C8313A"/>
    <w:rsid w:val="00C90FA8"/>
    <w:rsid w:val="00CA2944"/>
    <w:rsid w:val="00CE2A19"/>
    <w:rsid w:val="00D34305"/>
    <w:rsid w:val="00D44104"/>
    <w:rsid w:val="00D529DE"/>
    <w:rsid w:val="00DB6F49"/>
    <w:rsid w:val="00DF6E16"/>
    <w:rsid w:val="00E05C58"/>
    <w:rsid w:val="00E14FEE"/>
    <w:rsid w:val="00E21CF3"/>
    <w:rsid w:val="00E27D2A"/>
    <w:rsid w:val="00E41F24"/>
    <w:rsid w:val="00E544EA"/>
    <w:rsid w:val="00E923F0"/>
    <w:rsid w:val="00E94951"/>
    <w:rsid w:val="00EA4695"/>
    <w:rsid w:val="00EB430E"/>
    <w:rsid w:val="00EB7A0C"/>
    <w:rsid w:val="00EE4852"/>
    <w:rsid w:val="00EF5BD6"/>
    <w:rsid w:val="00EF5BDD"/>
    <w:rsid w:val="00F25DC1"/>
    <w:rsid w:val="00F36725"/>
    <w:rsid w:val="00F52B53"/>
    <w:rsid w:val="00F52C34"/>
    <w:rsid w:val="00F62A4C"/>
    <w:rsid w:val="00FA0DF8"/>
    <w:rsid w:val="00FA6B8D"/>
    <w:rsid w:val="00FD29E0"/>
    <w:rsid w:val="00FE310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A7D1FC8"/>
  <w15:docId w15:val="{F57150CB-F177-4B6A-A5D9-70D067E5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spacing w:after="200"/>
      <w:ind w:right="567"/>
      <w:outlineLvl w:val="0"/>
    </w:pPr>
    <w:rPr>
      <w:b/>
      <w:sz w:val="28"/>
    </w:rPr>
  </w:style>
  <w:style w:type="paragraph" w:styleId="berschrift2">
    <w:name w:val="heading 2"/>
    <w:basedOn w:val="Standard"/>
    <w:next w:val="Standard"/>
    <w:qFormat/>
    <w:pPr>
      <w:keepNext/>
      <w:ind w:right="-1"/>
      <w:jc w:val="both"/>
      <w:outlineLvl w:val="1"/>
    </w:pPr>
    <w:rPr>
      <w:b/>
      <w:bCs/>
      <w:sz w:val="24"/>
    </w:rPr>
  </w:style>
  <w:style w:type="paragraph" w:styleId="berschrift3">
    <w:name w:val="heading 3"/>
    <w:basedOn w:val="Standard"/>
    <w:next w:val="Standard"/>
    <w:qFormat/>
    <w:pPr>
      <w:keepNext/>
      <w:ind w:right="-1"/>
      <w:jc w:val="both"/>
      <w:outlineLvl w:val="2"/>
    </w:pPr>
    <w:rPr>
      <w:b/>
      <w:bCs/>
      <w:sz w:val="28"/>
    </w:rPr>
  </w:style>
  <w:style w:type="paragraph" w:styleId="berschrift4">
    <w:name w:val="heading 4"/>
    <w:basedOn w:val="Standard"/>
    <w:next w:val="Standard"/>
    <w:qFormat/>
    <w:pPr>
      <w:keepNext/>
      <w:spacing w:after="220"/>
      <w:ind w:left="567" w:hanging="567"/>
      <w:jc w:val="both"/>
      <w:outlineLvl w:val="3"/>
    </w:pPr>
    <w:rPr>
      <w:b/>
      <w:sz w:val="24"/>
    </w:rPr>
  </w:style>
  <w:style w:type="paragraph" w:styleId="berschrift5">
    <w:name w:val="heading 5"/>
    <w:basedOn w:val="Standard"/>
    <w:next w:val="Standard"/>
    <w:qFormat/>
    <w:pPr>
      <w:keepNext/>
      <w:jc w:val="both"/>
      <w:outlineLvl w:val="4"/>
    </w:pPr>
    <w:rPr>
      <w:b/>
      <w:sz w:val="21"/>
    </w:rPr>
  </w:style>
  <w:style w:type="paragraph" w:styleId="berschrift6">
    <w:name w:val="heading 6"/>
    <w:basedOn w:val="Standard"/>
    <w:next w:val="Standard"/>
    <w:qFormat/>
    <w:pPr>
      <w:keepNext/>
      <w:jc w:val="both"/>
      <w:outlineLvl w:val="5"/>
    </w:pPr>
    <w:rPr>
      <w:b/>
    </w:rPr>
  </w:style>
  <w:style w:type="paragraph" w:styleId="berschrift7">
    <w:name w:val="heading 7"/>
    <w:basedOn w:val="Standard"/>
    <w:next w:val="Standard"/>
    <w:qFormat/>
    <w:pPr>
      <w:keepNext/>
      <w:jc w:val="both"/>
      <w:outlineLvl w:val="6"/>
    </w:pPr>
    <w:rPr>
      <w:b/>
      <w:sz w:val="48"/>
    </w:rPr>
  </w:style>
  <w:style w:type="paragraph" w:styleId="berschrift8">
    <w:name w:val="heading 8"/>
    <w:basedOn w:val="Standard"/>
    <w:next w:val="Standard"/>
    <w:qFormat/>
    <w:pPr>
      <w:keepNext/>
      <w:jc w:val="both"/>
      <w:outlineLvl w:val="7"/>
    </w:pPr>
    <w:rPr>
      <w:b/>
      <w:bCs/>
      <w:sz w:val="36"/>
    </w:rPr>
  </w:style>
  <w:style w:type="paragraph" w:styleId="berschrift9">
    <w:name w:val="heading 9"/>
    <w:basedOn w:val="Standard"/>
    <w:next w:val="Standard"/>
    <w:qFormat/>
    <w:pPr>
      <w:keepNext/>
      <w:jc w:val="both"/>
      <w:outlineLvl w:val="8"/>
    </w:pPr>
    <w:rPr>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ind w:right="-1418"/>
      <w:jc w:val="both"/>
    </w:pPr>
    <w:rPr>
      <w:sz w:val="24"/>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2">
    <w:name w:val="Body Text 2"/>
    <w:basedOn w:val="Standard"/>
    <w:pPr>
      <w:ind w:right="-1"/>
      <w:jc w:val="both"/>
    </w:pPr>
    <w:rPr>
      <w:sz w:val="24"/>
    </w:rPr>
  </w:style>
  <w:style w:type="paragraph" w:styleId="Index2">
    <w:name w:val="index 2"/>
    <w:basedOn w:val="Standard"/>
    <w:next w:val="Standard"/>
    <w:autoRedefine/>
    <w:semiHidden/>
    <w:pPr>
      <w:tabs>
        <w:tab w:val="right" w:leader="dot" w:pos="4034"/>
      </w:tabs>
      <w:ind w:left="400" w:hanging="200"/>
      <w:jc w:val="both"/>
    </w:pPr>
  </w:style>
  <w:style w:type="paragraph" w:styleId="Index1">
    <w:name w:val="index 1"/>
    <w:basedOn w:val="Standard"/>
    <w:next w:val="Standard"/>
    <w:autoRedefine/>
    <w:semiHidden/>
    <w:pPr>
      <w:tabs>
        <w:tab w:val="right" w:leader="dot" w:pos="4034"/>
      </w:tabs>
      <w:ind w:left="200" w:hanging="200"/>
      <w:jc w:val="both"/>
    </w:pPr>
  </w:style>
  <w:style w:type="paragraph" w:styleId="Index3">
    <w:name w:val="index 3"/>
    <w:basedOn w:val="Standard"/>
    <w:next w:val="Standard"/>
    <w:autoRedefine/>
    <w:semiHidden/>
    <w:pPr>
      <w:tabs>
        <w:tab w:val="right" w:leader="dot" w:pos="4034"/>
      </w:tabs>
      <w:ind w:left="600" w:hanging="200"/>
      <w:jc w:val="both"/>
    </w:pPr>
  </w:style>
  <w:style w:type="paragraph" w:styleId="Index4">
    <w:name w:val="index 4"/>
    <w:basedOn w:val="Standard"/>
    <w:next w:val="Standard"/>
    <w:autoRedefine/>
    <w:semiHidden/>
    <w:pPr>
      <w:tabs>
        <w:tab w:val="right" w:leader="dot" w:pos="4034"/>
      </w:tabs>
      <w:ind w:left="800" w:hanging="200"/>
      <w:jc w:val="both"/>
    </w:pPr>
  </w:style>
  <w:style w:type="paragraph" w:styleId="Index5">
    <w:name w:val="index 5"/>
    <w:basedOn w:val="Standard"/>
    <w:next w:val="Standard"/>
    <w:autoRedefine/>
    <w:semiHidden/>
    <w:pPr>
      <w:tabs>
        <w:tab w:val="right" w:leader="dot" w:pos="4034"/>
      </w:tabs>
      <w:ind w:left="1000" w:hanging="200"/>
      <w:jc w:val="both"/>
    </w:pPr>
  </w:style>
  <w:style w:type="paragraph" w:styleId="Index6">
    <w:name w:val="index 6"/>
    <w:basedOn w:val="Standard"/>
    <w:next w:val="Standard"/>
    <w:autoRedefine/>
    <w:semiHidden/>
    <w:pPr>
      <w:tabs>
        <w:tab w:val="right" w:leader="dot" w:pos="4034"/>
      </w:tabs>
      <w:ind w:left="1200" w:hanging="200"/>
      <w:jc w:val="both"/>
    </w:pPr>
  </w:style>
  <w:style w:type="paragraph" w:styleId="Index7">
    <w:name w:val="index 7"/>
    <w:basedOn w:val="Standard"/>
    <w:next w:val="Standard"/>
    <w:autoRedefine/>
    <w:semiHidden/>
    <w:pPr>
      <w:tabs>
        <w:tab w:val="right" w:leader="dot" w:pos="4034"/>
      </w:tabs>
      <w:ind w:left="1400" w:hanging="200"/>
      <w:jc w:val="both"/>
    </w:pPr>
  </w:style>
  <w:style w:type="paragraph" w:styleId="Index8">
    <w:name w:val="index 8"/>
    <w:basedOn w:val="Standard"/>
    <w:next w:val="Standard"/>
    <w:autoRedefine/>
    <w:semiHidden/>
    <w:pPr>
      <w:tabs>
        <w:tab w:val="right" w:leader="dot" w:pos="4034"/>
      </w:tabs>
      <w:ind w:left="1600" w:hanging="200"/>
      <w:jc w:val="both"/>
    </w:pPr>
  </w:style>
  <w:style w:type="paragraph" w:styleId="Index9">
    <w:name w:val="index 9"/>
    <w:basedOn w:val="Standard"/>
    <w:next w:val="Standard"/>
    <w:autoRedefine/>
    <w:semiHidden/>
    <w:pPr>
      <w:tabs>
        <w:tab w:val="right" w:leader="dot" w:pos="4034"/>
      </w:tabs>
      <w:ind w:left="1800" w:hanging="200"/>
      <w:jc w:val="both"/>
    </w:pPr>
  </w:style>
  <w:style w:type="paragraph" w:styleId="Indexberschrift">
    <w:name w:val="index heading"/>
    <w:basedOn w:val="Standard"/>
    <w:next w:val="Index1"/>
    <w:semiHidden/>
    <w:pPr>
      <w:jc w:val="both"/>
    </w:pPr>
  </w:style>
  <w:style w:type="paragraph" w:styleId="Verzeichnis2">
    <w:name w:val="toc 2"/>
    <w:basedOn w:val="Standard"/>
    <w:next w:val="Standard"/>
    <w:autoRedefine/>
    <w:semiHidden/>
    <w:pPr>
      <w:tabs>
        <w:tab w:val="right" w:leader="dot" w:pos="9185"/>
      </w:tabs>
      <w:spacing w:line="300" w:lineRule="exact"/>
      <w:ind w:left="198"/>
      <w:jc w:val="both"/>
    </w:pPr>
    <w:rPr>
      <w:b/>
    </w:rPr>
  </w:style>
  <w:style w:type="paragraph" w:styleId="Verzeichnis1">
    <w:name w:val="toc 1"/>
    <w:basedOn w:val="Standard"/>
    <w:next w:val="Standard"/>
    <w:autoRedefine/>
    <w:uiPriority w:val="39"/>
    <w:pPr>
      <w:tabs>
        <w:tab w:val="right" w:leader="dot" w:pos="9185"/>
      </w:tabs>
      <w:spacing w:before="120" w:line="300" w:lineRule="exact"/>
      <w:jc w:val="both"/>
    </w:pPr>
    <w:rPr>
      <w:b/>
    </w:rPr>
  </w:style>
  <w:style w:type="paragraph" w:styleId="Verzeichnis3">
    <w:name w:val="toc 3"/>
    <w:basedOn w:val="Standard"/>
    <w:next w:val="Standard"/>
    <w:autoRedefine/>
    <w:semiHidden/>
    <w:pPr>
      <w:tabs>
        <w:tab w:val="right" w:leader="dot" w:pos="9185"/>
      </w:tabs>
      <w:ind w:left="800" w:right="1418" w:hanging="397"/>
    </w:pPr>
    <w:rPr>
      <w:noProof/>
      <w:szCs w:val="28"/>
    </w:rPr>
  </w:style>
  <w:style w:type="paragraph" w:styleId="Verzeichnis4">
    <w:name w:val="toc 4"/>
    <w:basedOn w:val="Standard"/>
    <w:next w:val="Standard"/>
    <w:autoRedefine/>
    <w:semiHidden/>
    <w:pPr>
      <w:tabs>
        <w:tab w:val="right" w:leader="dot" w:pos="9185"/>
      </w:tabs>
      <w:ind w:left="600"/>
    </w:pPr>
    <w:rPr>
      <w:noProof/>
    </w:rPr>
  </w:style>
  <w:style w:type="paragraph" w:styleId="Verzeichnis5">
    <w:name w:val="toc 5"/>
    <w:basedOn w:val="Standard"/>
    <w:next w:val="Standard"/>
    <w:autoRedefine/>
    <w:semiHidden/>
    <w:pPr>
      <w:tabs>
        <w:tab w:val="right" w:leader="dot" w:pos="8788"/>
      </w:tabs>
      <w:ind w:left="800"/>
      <w:jc w:val="both"/>
    </w:pPr>
  </w:style>
  <w:style w:type="paragraph" w:styleId="Verzeichnis6">
    <w:name w:val="toc 6"/>
    <w:basedOn w:val="Standard"/>
    <w:next w:val="Standard"/>
    <w:autoRedefine/>
    <w:semiHidden/>
    <w:pPr>
      <w:tabs>
        <w:tab w:val="right" w:leader="dot" w:pos="8788"/>
      </w:tabs>
      <w:ind w:left="1000"/>
      <w:jc w:val="both"/>
    </w:pPr>
  </w:style>
  <w:style w:type="paragraph" w:styleId="Verzeichnis7">
    <w:name w:val="toc 7"/>
    <w:basedOn w:val="Standard"/>
    <w:next w:val="Standard"/>
    <w:autoRedefine/>
    <w:semiHidden/>
    <w:pPr>
      <w:tabs>
        <w:tab w:val="right" w:leader="dot" w:pos="8788"/>
      </w:tabs>
      <w:ind w:left="1200"/>
      <w:jc w:val="both"/>
    </w:pPr>
  </w:style>
  <w:style w:type="paragraph" w:styleId="Verzeichnis8">
    <w:name w:val="toc 8"/>
    <w:basedOn w:val="Standard"/>
    <w:next w:val="Standard"/>
    <w:autoRedefine/>
    <w:semiHidden/>
    <w:pPr>
      <w:tabs>
        <w:tab w:val="right" w:leader="dot" w:pos="8788"/>
      </w:tabs>
      <w:ind w:left="1400"/>
      <w:jc w:val="both"/>
    </w:pPr>
  </w:style>
  <w:style w:type="paragraph" w:styleId="Verzeichnis9">
    <w:name w:val="toc 9"/>
    <w:basedOn w:val="Standard"/>
    <w:next w:val="Standard"/>
    <w:autoRedefine/>
    <w:semiHidden/>
    <w:pPr>
      <w:tabs>
        <w:tab w:val="right" w:leader="dot" w:pos="8788"/>
      </w:tabs>
      <w:ind w:left="1600"/>
      <w:jc w:val="both"/>
    </w:pPr>
  </w:style>
  <w:style w:type="paragraph" w:styleId="Textkrper3">
    <w:name w:val="Body Text 3"/>
    <w:basedOn w:val="Standard"/>
    <w:pPr>
      <w:tabs>
        <w:tab w:val="left" w:pos="6804"/>
      </w:tabs>
      <w:jc w:val="both"/>
    </w:pPr>
  </w:style>
  <w:style w:type="paragraph" w:styleId="Dokumentstruktur">
    <w:name w:val="Document Map"/>
    <w:basedOn w:val="Standard"/>
    <w:semiHidden/>
    <w:pPr>
      <w:shd w:val="clear" w:color="auto" w:fill="000080"/>
      <w:jc w:val="both"/>
    </w:pPr>
    <w:rPr>
      <w:rFonts w:ascii="Tahoma" w:hAnsi="Tahoma"/>
    </w:rPr>
  </w:style>
  <w:style w:type="paragraph" w:styleId="Textkrper-Zeileneinzug">
    <w:name w:val="Body Text Indent"/>
    <w:basedOn w:val="Standard"/>
    <w:pPr>
      <w:widowControl w:val="0"/>
      <w:autoSpaceDE w:val="0"/>
      <w:autoSpaceDN w:val="0"/>
      <w:adjustRightInd w:val="0"/>
      <w:ind w:left="227" w:hanging="227"/>
      <w:jc w:val="both"/>
    </w:pPr>
    <w:rPr>
      <w:rFonts w:cs="Arial"/>
    </w:rPr>
  </w:style>
  <w:style w:type="paragraph" w:customStyle="1" w:styleId="NurText1">
    <w:name w:val="Nur Text1"/>
    <w:basedOn w:val="Standard"/>
    <w:pPr>
      <w:jc w:val="both"/>
    </w:pPr>
  </w:style>
  <w:style w:type="paragraph" w:styleId="Endnotentext">
    <w:name w:val="endnote text"/>
    <w:basedOn w:val="Standard"/>
    <w:semiHidden/>
    <w:pPr>
      <w:overflowPunct w:val="0"/>
      <w:autoSpaceDE w:val="0"/>
      <w:autoSpaceDN w:val="0"/>
      <w:adjustRightInd w:val="0"/>
      <w:ind w:right="141"/>
      <w:jc w:val="both"/>
      <w:textAlignment w:val="baseline"/>
    </w:pPr>
  </w:style>
  <w:style w:type="paragraph" w:customStyle="1" w:styleId="Text">
    <w:name w:val="Text"/>
    <w:basedOn w:val="Textkrper"/>
    <w:pPr>
      <w:ind w:right="0"/>
      <w:jc w:val="center"/>
    </w:pPr>
    <w:rPr>
      <w:noProof/>
      <w:sz w:val="20"/>
    </w:rPr>
  </w:style>
  <w:style w:type="character" w:styleId="Hyperlink">
    <w:name w:val="Hyperlink"/>
    <w:basedOn w:val="Absatz-Standardschriftart"/>
    <w:uiPriority w:val="99"/>
    <w:rPr>
      <w:color w:val="0000FF"/>
      <w:u w:val="single"/>
    </w:rPr>
  </w:style>
  <w:style w:type="character" w:styleId="Seitenzahl">
    <w:name w:val="page number"/>
    <w:basedOn w:val="Absatz-Standardschriftart"/>
  </w:style>
  <w:style w:type="paragraph" w:styleId="Sprechblasentext">
    <w:name w:val="Balloon Text"/>
    <w:basedOn w:val="Standard"/>
    <w:link w:val="SprechblasentextZchn"/>
    <w:rsid w:val="005035EA"/>
    <w:rPr>
      <w:rFonts w:ascii="Tahoma" w:hAnsi="Tahoma" w:cs="Tahoma"/>
      <w:sz w:val="16"/>
      <w:szCs w:val="16"/>
    </w:rPr>
  </w:style>
  <w:style w:type="character" w:customStyle="1" w:styleId="SprechblasentextZchn">
    <w:name w:val="Sprechblasentext Zchn"/>
    <w:basedOn w:val="Absatz-Standardschriftart"/>
    <w:link w:val="Sprechblasentext"/>
    <w:rsid w:val="005035EA"/>
    <w:rPr>
      <w:rFonts w:ascii="Tahoma" w:hAnsi="Tahoma" w:cs="Tahoma"/>
      <w:sz w:val="16"/>
      <w:szCs w:val="16"/>
      <w:lang w:val="fr-CH" w:eastAsia="de-DE"/>
    </w:rPr>
  </w:style>
  <w:style w:type="paragraph" w:styleId="Listenabsatz">
    <w:name w:val="List Paragraph"/>
    <w:basedOn w:val="Standard"/>
    <w:uiPriority w:val="34"/>
    <w:qFormat/>
    <w:rsid w:val="00EF5BDD"/>
    <w:pPr>
      <w:ind w:left="720"/>
      <w:contextualSpacing/>
    </w:pPr>
  </w:style>
  <w:style w:type="paragraph" w:styleId="Funotentext">
    <w:name w:val="footnote text"/>
    <w:basedOn w:val="Standard"/>
    <w:link w:val="FunotentextZchn"/>
    <w:semiHidden/>
    <w:unhideWhenUsed/>
    <w:rsid w:val="00E544EA"/>
    <w:rPr>
      <w:sz w:val="20"/>
    </w:rPr>
  </w:style>
  <w:style w:type="character" w:customStyle="1" w:styleId="FunotentextZchn">
    <w:name w:val="Fußnotentext Zchn"/>
    <w:basedOn w:val="Absatz-Standardschriftart"/>
    <w:link w:val="Funotentext"/>
    <w:semiHidden/>
    <w:rsid w:val="00E544EA"/>
    <w:rPr>
      <w:rFonts w:ascii="Arial" w:hAnsi="Arial"/>
      <w:lang w:val="fr-CH" w:eastAsia="de-DE"/>
    </w:rPr>
  </w:style>
  <w:style w:type="character" w:styleId="Funotenzeichen">
    <w:name w:val="footnote reference"/>
    <w:basedOn w:val="Absatz-Standardschriftart"/>
    <w:semiHidden/>
    <w:unhideWhenUsed/>
    <w:rsid w:val="00E544EA"/>
    <w:rPr>
      <w:vertAlign w:val="superscript"/>
    </w:rPr>
  </w:style>
  <w:style w:type="character" w:styleId="Kommentarzeichen">
    <w:name w:val="annotation reference"/>
    <w:basedOn w:val="Absatz-Standardschriftart"/>
    <w:semiHidden/>
    <w:unhideWhenUsed/>
    <w:rsid w:val="00FA6B8D"/>
    <w:rPr>
      <w:sz w:val="16"/>
      <w:szCs w:val="16"/>
    </w:rPr>
  </w:style>
  <w:style w:type="paragraph" w:styleId="Kommentartext">
    <w:name w:val="annotation text"/>
    <w:basedOn w:val="Standard"/>
    <w:link w:val="KommentartextZchn"/>
    <w:semiHidden/>
    <w:unhideWhenUsed/>
    <w:rsid w:val="00FA6B8D"/>
    <w:rPr>
      <w:sz w:val="20"/>
    </w:rPr>
  </w:style>
  <w:style w:type="character" w:customStyle="1" w:styleId="KommentartextZchn">
    <w:name w:val="Kommentartext Zchn"/>
    <w:basedOn w:val="Absatz-Standardschriftart"/>
    <w:link w:val="Kommentartext"/>
    <w:semiHidden/>
    <w:rsid w:val="00FA6B8D"/>
    <w:rPr>
      <w:rFonts w:ascii="Arial" w:hAnsi="Arial"/>
      <w:lang w:val="fr-CH" w:eastAsia="de-DE"/>
    </w:rPr>
  </w:style>
  <w:style w:type="paragraph" w:styleId="Kommentarthema">
    <w:name w:val="annotation subject"/>
    <w:basedOn w:val="Kommentartext"/>
    <w:next w:val="Kommentartext"/>
    <w:link w:val="KommentarthemaZchn"/>
    <w:semiHidden/>
    <w:unhideWhenUsed/>
    <w:rsid w:val="00FA6B8D"/>
    <w:rPr>
      <w:b/>
      <w:bCs/>
    </w:rPr>
  </w:style>
  <w:style w:type="character" w:customStyle="1" w:styleId="KommentarthemaZchn">
    <w:name w:val="Kommentarthema Zchn"/>
    <w:basedOn w:val="KommentartextZchn"/>
    <w:link w:val="Kommentarthema"/>
    <w:semiHidden/>
    <w:rsid w:val="00FA6B8D"/>
    <w:rPr>
      <w:rFonts w:ascii="Arial" w:hAnsi="Arial"/>
      <w:b/>
      <w:bCs/>
      <w:lang w:val="fr-CH" w:eastAsia="de-DE"/>
    </w:rPr>
  </w:style>
  <w:style w:type="paragraph" w:styleId="berarbeitung">
    <w:name w:val="Revision"/>
    <w:hidden/>
    <w:uiPriority w:val="99"/>
    <w:semiHidden/>
    <w:rsid w:val="00DF6E16"/>
    <w:rPr>
      <w:rFonts w:ascii="Arial" w:hAnsi="Arial"/>
      <w:sz w:val="22"/>
      <w:lang w:eastAsia="de-DE"/>
    </w:rPr>
  </w:style>
  <w:style w:type="paragraph" w:customStyle="1" w:styleId="Default">
    <w:name w:val="Default"/>
    <w:rsid w:val="00C20EEC"/>
    <w:pPr>
      <w:autoSpaceDE w:val="0"/>
      <w:autoSpaceDN w:val="0"/>
      <w:adjustRightInd w:val="0"/>
    </w:pPr>
    <w:rPr>
      <w:rFonts w:ascii="Arial" w:hAnsi="Arial" w:cs="Arial"/>
      <w:color w:val="000000"/>
      <w:sz w:val="24"/>
      <w:szCs w:val="24"/>
    </w:rPr>
  </w:style>
  <w:style w:type="character" w:customStyle="1" w:styleId="FuzeileZchn">
    <w:name w:val="Fußzeile Zchn"/>
    <w:basedOn w:val="Absatz-Standardschriftart"/>
    <w:link w:val="Fuzeile"/>
    <w:uiPriority w:val="99"/>
    <w:rsid w:val="00C6290E"/>
    <w:rPr>
      <w:rFonts w:ascii="Arial" w:hAnsi="Arial"/>
      <w:sz w:val="22"/>
      <w:lang w:eastAsia="de-DE"/>
    </w:rPr>
  </w:style>
  <w:style w:type="table" w:styleId="Tabellenraster">
    <w:name w:val="Table Grid"/>
    <w:basedOn w:val="NormaleTabelle"/>
    <w:uiPriority w:val="59"/>
    <w:rsid w:val="002D7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29945">
      <w:bodyDiv w:val="1"/>
      <w:marLeft w:val="0"/>
      <w:marRight w:val="0"/>
      <w:marTop w:val="0"/>
      <w:marBottom w:val="0"/>
      <w:divBdr>
        <w:top w:val="none" w:sz="0" w:space="0" w:color="auto"/>
        <w:left w:val="none" w:sz="0" w:space="0" w:color="auto"/>
        <w:bottom w:val="none" w:sz="0" w:space="0" w:color="auto"/>
        <w:right w:val="none" w:sz="0" w:space="0" w:color="auto"/>
      </w:divBdr>
      <w:divsChild>
        <w:div w:id="845481753">
          <w:marLeft w:val="0"/>
          <w:marRight w:val="0"/>
          <w:marTop w:val="0"/>
          <w:marBottom w:val="0"/>
          <w:divBdr>
            <w:top w:val="none" w:sz="0" w:space="0" w:color="auto"/>
            <w:left w:val="none" w:sz="0" w:space="0" w:color="auto"/>
            <w:bottom w:val="none" w:sz="0" w:space="0" w:color="auto"/>
            <w:right w:val="none" w:sz="0" w:space="0" w:color="auto"/>
          </w:divBdr>
          <w:divsChild>
            <w:div w:id="333649688">
              <w:marLeft w:val="0"/>
              <w:marRight w:val="0"/>
              <w:marTop w:val="0"/>
              <w:marBottom w:val="0"/>
              <w:divBdr>
                <w:top w:val="none" w:sz="0" w:space="0" w:color="auto"/>
                <w:left w:val="none" w:sz="0" w:space="0" w:color="auto"/>
                <w:bottom w:val="none" w:sz="0" w:space="0" w:color="auto"/>
                <w:right w:val="none" w:sz="0" w:space="0" w:color="auto"/>
              </w:divBdr>
            </w:div>
            <w:div w:id="152573264">
              <w:marLeft w:val="0"/>
              <w:marRight w:val="0"/>
              <w:marTop w:val="0"/>
              <w:marBottom w:val="0"/>
              <w:divBdr>
                <w:top w:val="none" w:sz="0" w:space="0" w:color="auto"/>
                <w:left w:val="none" w:sz="0" w:space="0" w:color="auto"/>
                <w:bottom w:val="none" w:sz="0" w:space="0" w:color="auto"/>
                <w:right w:val="none" w:sz="0" w:space="0" w:color="auto"/>
              </w:divBdr>
            </w:div>
          </w:divsChild>
        </w:div>
        <w:div w:id="1239243795">
          <w:marLeft w:val="0"/>
          <w:marRight w:val="0"/>
          <w:marTop w:val="0"/>
          <w:marBottom w:val="0"/>
          <w:divBdr>
            <w:top w:val="none" w:sz="0" w:space="0" w:color="auto"/>
            <w:left w:val="none" w:sz="0" w:space="0" w:color="auto"/>
            <w:bottom w:val="none" w:sz="0" w:space="0" w:color="auto"/>
            <w:right w:val="none" w:sz="0" w:space="0" w:color="auto"/>
          </w:divBdr>
        </w:div>
      </w:divsChild>
    </w:div>
    <w:div w:id="186019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9FDB2-0878-4900-B752-D1258E8A0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5087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Briefformular</vt:lpstr>
    </vt:vector>
  </TitlesOfParts>
  <Company/>
  <LinksUpToDate>false</LinksUpToDate>
  <CharactersWithSpaces>5929</CharactersWithSpaces>
  <SharedDoc>false</SharedDoc>
  <HLinks>
    <vt:vector size="42" baseType="variant">
      <vt:variant>
        <vt:i4>1114174</vt:i4>
      </vt:variant>
      <vt:variant>
        <vt:i4>38</vt:i4>
      </vt:variant>
      <vt:variant>
        <vt:i4>0</vt:i4>
      </vt:variant>
      <vt:variant>
        <vt:i4>5</vt:i4>
      </vt:variant>
      <vt:variant>
        <vt:lpwstr/>
      </vt:variant>
      <vt:variant>
        <vt:lpwstr>_Toc242673978</vt:lpwstr>
      </vt:variant>
      <vt:variant>
        <vt:i4>1114174</vt:i4>
      </vt:variant>
      <vt:variant>
        <vt:i4>32</vt:i4>
      </vt:variant>
      <vt:variant>
        <vt:i4>0</vt:i4>
      </vt:variant>
      <vt:variant>
        <vt:i4>5</vt:i4>
      </vt:variant>
      <vt:variant>
        <vt:lpwstr/>
      </vt:variant>
      <vt:variant>
        <vt:lpwstr>_Toc242673977</vt:lpwstr>
      </vt:variant>
      <vt:variant>
        <vt:i4>1114174</vt:i4>
      </vt:variant>
      <vt:variant>
        <vt:i4>26</vt:i4>
      </vt:variant>
      <vt:variant>
        <vt:i4>0</vt:i4>
      </vt:variant>
      <vt:variant>
        <vt:i4>5</vt:i4>
      </vt:variant>
      <vt:variant>
        <vt:lpwstr/>
      </vt:variant>
      <vt:variant>
        <vt:lpwstr>_Toc242673976</vt:lpwstr>
      </vt:variant>
      <vt:variant>
        <vt:i4>1114174</vt:i4>
      </vt:variant>
      <vt:variant>
        <vt:i4>20</vt:i4>
      </vt:variant>
      <vt:variant>
        <vt:i4>0</vt:i4>
      </vt:variant>
      <vt:variant>
        <vt:i4>5</vt:i4>
      </vt:variant>
      <vt:variant>
        <vt:lpwstr/>
      </vt:variant>
      <vt:variant>
        <vt:lpwstr>_Toc242673975</vt:lpwstr>
      </vt:variant>
      <vt:variant>
        <vt:i4>1114174</vt:i4>
      </vt:variant>
      <vt:variant>
        <vt:i4>14</vt:i4>
      </vt:variant>
      <vt:variant>
        <vt:i4>0</vt:i4>
      </vt:variant>
      <vt:variant>
        <vt:i4>5</vt:i4>
      </vt:variant>
      <vt:variant>
        <vt:lpwstr/>
      </vt:variant>
      <vt:variant>
        <vt:lpwstr>_Toc242673974</vt:lpwstr>
      </vt:variant>
      <vt:variant>
        <vt:i4>1114174</vt:i4>
      </vt:variant>
      <vt:variant>
        <vt:i4>8</vt:i4>
      </vt:variant>
      <vt:variant>
        <vt:i4>0</vt:i4>
      </vt:variant>
      <vt:variant>
        <vt:i4>5</vt:i4>
      </vt:variant>
      <vt:variant>
        <vt:lpwstr/>
      </vt:variant>
      <vt:variant>
        <vt:lpwstr>_Toc242673973</vt:lpwstr>
      </vt:variant>
      <vt:variant>
        <vt:i4>1114174</vt:i4>
      </vt:variant>
      <vt:variant>
        <vt:i4>2</vt:i4>
      </vt:variant>
      <vt:variant>
        <vt:i4>0</vt:i4>
      </vt:variant>
      <vt:variant>
        <vt:i4>5</vt:i4>
      </vt:variant>
      <vt:variant>
        <vt:lpwstr/>
      </vt:variant>
      <vt:variant>
        <vt:lpwstr>_Toc242673972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Briefformular</dc:title>
  <dc:creator>Stiftung Dammweg</dc:creator>
  <cp:lastModifiedBy>Rolf Birchler</cp:lastModifiedBy>
  <cp:revision>3</cp:revision>
  <cp:lastPrinted>2022-02-02T08:12:00Z</cp:lastPrinted>
  <dcterms:created xsi:type="dcterms:W3CDTF">2022-03-01T14:13:00Z</dcterms:created>
  <dcterms:modified xsi:type="dcterms:W3CDTF">2022-03-09T09:47:00Z</dcterms:modified>
</cp:coreProperties>
</file>